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5FE7" w14:textId="77777777" w:rsidR="00BB39B9" w:rsidRDefault="00157163">
      <w:pPr>
        <w:pStyle w:val="Heading1"/>
        <w:ind w:left="120"/>
        <w:jc w:val="both"/>
      </w:pPr>
      <w:r>
        <w:t>STYRELSENS</w:t>
      </w:r>
      <w:r>
        <w:rPr>
          <w:spacing w:val="-6"/>
        </w:rPr>
        <w:t xml:space="preserve"> </w:t>
      </w:r>
      <w:r>
        <w:t>YTTRANDE</w:t>
      </w:r>
      <w:r>
        <w:rPr>
          <w:spacing w:val="-3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AKTIEBOLAGSLAGEN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KAP.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10"/>
        </w:rPr>
        <w:t>§</w:t>
      </w:r>
    </w:p>
    <w:p w14:paraId="23B0D512" w14:textId="77777777" w:rsidR="00BB39B9" w:rsidRDefault="00BB39B9">
      <w:pPr>
        <w:pStyle w:val="BodyText"/>
        <w:rPr>
          <w:b/>
          <w:sz w:val="22"/>
        </w:rPr>
      </w:pPr>
    </w:p>
    <w:p w14:paraId="51EAD733" w14:textId="77777777" w:rsidR="00BB39B9" w:rsidRDefault="00BB39B9">
      <w:pPr>
        <w:pStyle w:val="BodyText"/>
        <w:rPr>
          <w:b/>
          <w:sz w:val="22"/>
        </w:rPr>
      </w:pPr>
    </w:p>
    <w:p w14:paraId="394E9A31" w14:textId="77777777" w:rsidR="00BB39B9" w:rsidRDefault="00BB39B9">
      <w:pPr>
        <w:pStyle w:val="BodyText"/>
        <w:spacing w:before="8"/>
        <w:rPr>
          <w:b/>
          <w:sz w:val="30"/>
        </w:rPr>
      </w:pPr>
    </w:p>
    <w:p w14:paraId="177E1B67" w14:textId="77777777" w:rsidR="00BB39B9" w:rsidRDefault="00157163">
      <w:pPr>
        <w:pStyle w:val="BodyText"/>
        <w:spacing w:line="314" w:lineRule="auto"/>
        <w:ind w:left="115" w:right="114" w:hanging="10"/>
        <w:jc w:val="both"/>
      </w:pPr>
      <w:r>
        <w:t>Med</w:t>
      </w:r>
      <w:r>
        <w:rPr>
          <w:spacing w:val="-13"/>
        </w:rPr>
        <w:t xml:space="preserve"> </w:t>
      </w:r>
      <w:r>
        <w:t>anledning</w:t>
      </w:r>
      <w:r>
        <w:rPr>
          <w:spacing w:val="-13"/>
        </w:rPr>
        <w:t xml:space="preserve"> </w:t>
      </w:r>
      <w:r>
        <w:t>av</w:t>
      </w:r>
      <w:r>
        <w:rPr>
          <w:spacing w:val="-15"/>
        </w:rPr>
        <w:t xml:space="preserve"> </w:t>
      </w:r>
      <w:r>
        <w:t>den</w:t>
      </w:r>
      <w:r>
        <w:rPr>
          <w:spacing w:val="-13"/>
        </w:rPr>
        <w:t xml:space="preserve"> </w:t>
      </w:r>
      <w:r>
        <w:t>av</w:t>
      </w:r>
      <w:r>
        <w:rPr>
          <w:spacing w:val="-15"/>
        </w:rPr>
        <w:t xml:space="preserve"> </w:t>
      </w:r>
      <w:r>
        <w:t>styrelsen</w:t>
      </w:r>
      <w:r>
        <w:rPr>
          <w:spacing w:val="-12"/>
        </w:rPr>
        <w:t xml:space="preserve"> </w:t>
      </w:r>
      <w:r>
        <w:t>föreslagna</w:t>
      </w:r>
      <w:r>
        <w:rPr>
          <w:spacing w:val="-14"/>
        </w:rPr>
        <w:t xml:space="preserve"> </w:t>
      </w:r>
      <w:r>
        <w:t>vinstutdelningen</w:t>
      </w:r>
      <w:r>
        <w:rPr>
          <w:spacing w:val="-13"/>
        </w:rPr>
        <w:t xml:space="preserve"> </w:t>
      </w:r>
      <w:r>
        <w:t>får</w:t>
      </w:r>
      <w:r>
        <w:rPr>
          <w:spacing w:val="-14"/>
        </w:rPr>
        <w:t xml:space="preserve"> </w:t>
      </w:r>
      <w:r>
        <w:t>styrelsen</w:t>
      </w:r>
      <w:r>
        <w:rPr>
          <w:spacing w:val="-12"/>
        </w:rPr>
        <w:t xml:space="preserve"> </w:t>
      </w:r>
      <w:r>
        <w:t>för</w:t>
      </w:r>
      <w:r>
        <w:rPr>
          <w:spacing w:val="-14"/>
        </w:rPr>
        <w:t xml:space="preserve"> </w:t>
      </w:r>
      <w:r>
        <w:t>Clas</w:t>
      </w:r>
      <w:r>
        <w:rPr>
          <w:spacing w:val="-14"/>
        </w:rPr>
        <w:t xml:space="preserve"> </w:t>
      </w:r>
      <w:r>
        <w:t>Ohlson</w:t>
      </w:r>
      <w:r>
        <w:rPr>
          <w:spacing w:val="-13"/>
        </w:rPr>
        <w:t xml:space="preserve"> </w:t>
      </w:r>
      <w:r>
        <w:t>AB</w:t>
      </w:r>
      <w:r>
        <w:rPr>
          <w:spacing w:val="-15"/>
        </w:rPr>
        <w:t xml:space="preserve"> </w:t>
      </w:r>
      <w:r>
        <w:t>(publ) ("</w:t>
      </w:r>
      <w:r>
        <w:rPr>
          <w:b/>
        </w:rPr>
        <w:t>Bolaget</w:t>
      </w:r>
      <w:r>
        <w:t>") härmed avge följande yttrande enligt aktiebolagslagen 18 kap. 4 §.</w:t>
      </w:r>
    </w:p>
    <w:p w14:paraId="5BEDEA79" w14:textId="77777777" w:rsidR="00BB39B9" w:rsidRDefault="00BB39B9">
      <w:pPr>
        <w:pStyle w:val="BodyText"/>
        <w:spacing w:before="4"/>
        <w:rPr>
          <w:sz w:val="23"/>
        </w:rPr>
      </w:pPr>
    </w:p>
    <w:p w14:paraId="51491CAA" w14:textId="1271359E" w:rsidR="00BB39B9" w:rsidRPr="00A41096" w:rsidRDefault="00157163">
      <w:pPr>
        <w:pStyle w:val="BodyText"/>
        <w:spacing w:line="312" w:lineRule="auto"/>
        <w:ind w:left="115" w:right="188" w:hanging="10"/>
        <w:jc w:val="both"/>
      </w:pPr>
      <w:r w:rsidRPr="00A41096">
        <w:t>Bolagets</w:t>
      </w:r>
      <w:r w:rsidRPr="00A41096">
        <w:rPr>
          <w:spacing w:val="-16"/>
        </w:rPr>
        <w:t xml:space="preserve"> </w:t>
      </w:r>
      <w:r w:rsidRPr="00A41096">
        <w:t>verksamhet</w:t>
      </w:r>
      <w:r w:rsidRPr="00A41096">
        <w:rPr>
          <w:spacing w:val="-14"/>
        </w:rPr>
        <w:t xml:space="preserve"> </w:t>
      </w:r>
      <w:r w:rsidRPr="00A41096">
        <w:t>och</w:t>
      </w:r>
      <w:r w:rsidRPr="00A41096">
        <w:rPr>
          <w:spacing w:val="-14"/>
        </w:rPr>
        <w:t xml:space="preserve"> </w:t>
      </w:r>
      <w:r w:rsidRPr="00A41096">
        <w:t>omfattning</w:t>
      </w:r>
      <w:r w:rsidRPr="00A41096">
        <w:rPr>
          <w:spacing w:val="-15"/>
        </w:rPr>
        <w:t xml:space="preserve"> </w:t>
      </w:r>
      <w:r w:rsidRPr="00A41096">
        <w:t>framgår</w:t>
      </w:r>
      <w:r w:rsidRPr="00A41096">
        <w:rPr>
          <w:spacing w:val="-15"/>
        </w:rPr>
        <w:t xml:space="preserve"> </w:t>
      </w:r>
      <w:r w:rsidRPr="00A41096">
        <w:t>av</w:t>
      </w:r>
      <w:r w:rsidRPr="00A41096">
        <w:rPr>
          <w:spacing w:val="-16"/>
        </w:rPr>
        <w:t xml:space="preserve"> </w:t>
      </w:r>
      <w:r w:rsidRPr="00A41096">
        <w:t>bolagsordningen</w:t>
      </w:r>
      <w:r w:rsidRPr="00A41096">
        <w:rPr>
          <w:spacing w:val="-14"/>
        </w:rPr>
        <w:t xml:space="preserve"> </w:t>
      </w:r>
      <w:r w:rsidRPr="00A41096">
        <w:t>och</w:t>
      </w:r>
      <w:r w:rsidRPr="00A41096">
        <w:rPr>
          <w:spacing w:val="-14"/>
        </w:rPr>
        <w:t xml:space="preserve"> </w:t>
      </w:r>
      <w:r w:rsidRPr="00A41096">
        <w:t>avgivna</w:t>
      </w:r>
      <w:r w:rsidRPr="00A41096">
        <w:rPr>
          <w:spacing w:val="-15"/>
        </w:rPr>
        <w:t xml:space="preserve"> </w:t>
      </w:r>
      <w:r w:rsidRPr="00A41096">
        <w:t>årsredovisningar.</w:t>
      </w:r>
      <w:r w:rsidRPr="00A41096">
        <w:rPr>
          <w:spacing w:val="-16"/>
        </w:rPr>
        <w:t xml:space="preserve"> </w:t>
      </w:r>
      <w:r w:rsidRPr="00A41096">
        <w:t>Den verksamhet som bedrivs i Bolaget medför inte risker utöver vad som förekommer eller kan antas förekomma i branschen eller de risker som i allmänhet är förenade med bedrivande av näringsverksamhet. Beträffande väsentliga händelser hänvisas till vad som framgår av bokslutskommunikén per den 30 april 20</w:t>
      </w:r>
      <w:r w:rsidR="00BF07CF">
        <w:t>24</w:t>
      </w:r>
      <w:r w:rsidRPr="00A41096">
        <w:t>. Härutöver har inte några händelser inträffat som påverkar</w:t>
      </w:r>
      <w:r w:rsidRPr="00A41096">
        <w:rPr>
          <w:spacing w:val="-4"/>
        </w:rPr>
        <w:t xml:space="preserve"> </w:t>
      </w:r>
      <w:r w:rsidRPr="00A41096">
        <w:t>Bolagets</w:t>
      </w:r>
      <w:r w:rsidRPr="00A41096">
        <w:rPr>
          <w:spacing w:val="-3"/>
        </w:rPr>
        <w:t xml:space="preserve"> </w:t>
      </w:r>
      <w:r w:rsidRPr="00A41096">
        <w:t>förmåga</w:t>
      </w:r>
      <w:r w:rsidRPr="00A41096">
        <w:rPr>
          <w:spacing w:val="-5"/>
        </w:rPr>
        <w:t xml:space="preserve"> </w:t>
      </w:r>
      <w:r w:rsidRPr="00A41096">
        <w:t>att</w:t>
      </w:r>
      <w:r w:rsidRPr="00A41096">
        <w:rPr>
          <w:spacing w:val="-2"/>
        </w:rPr>
        <w:t xml:space="preserve"> </w:t>
      </w:r>
      <w:r w:rsidRPr="00A41096">
        <w:t>lämna</w:t>
      </w:r>
      <w:r w:rsidRPr="00A41096">
        <w:rPr>
          <w:spacing w:val="-3"/>
        </w:rPr>
        <w:t xml:space="preserve"> </w:t>
      </w:r>
      <w:r w:rsidRPr="00A41096">
        <w:t>utdelning.</w:t>
      </w:r>
      <w:r w:rsidRPr="00A41096">
        <w:rPr>
          <w:spacing w:val="-4"/>
        </w:rPr>
        <w:t xml:space="preserve"> </w:t>
      </w:r>
      <w:r w:rsidRPr="00A41096">
        <w:t>Bolagets</w:t>
      </w:r>
      <w:r w:rsidRPr="00A41096">
        <w:rPr>
          <w:spacing w:val="-3"/>
        </w:rPr>
        <w:t xml:space="preserve"> </w:t>
      </w:r>
      <w:r w:rsidRPr="00A41096">
        <w:t>konjunkturberoende</w:t>
      </w:r>
      <w:r w:rsidRPr="00A41096">
        <w:rPr>
          <w:spacing w:val="-3"/>
        </w:rPr>
        <w:t xml:space="preserve"> </w:t>
      </w:r>
      <w:r w:rsidRPr="00A41096">
        <w:t>avviker</w:t>
      </w:r>
      <w:r w:rsidRPr="00A41096">
        <w:rPr>
          <w:spacing w:val="-3"/>
        </w:rPr>
        <w:t xml:space="preserve"> </w:t>
      </w:r>
      <w:r w:rsidRPr="00A41096">
        <w:t>inte</w:t>
      </w:r>
      <w:r w:rsidRPr="00A41096">
        <w:rPr>
          <w:spacing w:val="-3"/>
        </w:rPr>
        <w:t xml:space="preserve"> </w:t>
      </w:r>
      <w:r w:rsidRPr="00A41096">
        <w:t>från</w:t>
      </w:r>
      <w:r w:rsidRPr="00A41096">
        <w:rPr>
          <w:spacing w:val="-2"/>
        </w:rPr>
        <w:t xml:space="preserve"> </w:t>
      </w:r>
      <w:r w:rsidRPr="00A41096">
        <w:t>vad som i övrigt förekommer inom branschen.</w:t>
      </w:r>
    </w:p>
    <w:p w14:paraId="7CDD977F" w14:textId="77777777" w:rsidR="00BB39B9" w:rsidRPr="00A41096" w:rsidRDefault="00BB39B9">
      <w:pPr>
        <w:pStyle w:val="BodyText"/>
        <w:spacing w:before="10"/>
        <w:rPr>
          <w:sz w:val="23"/>
          <w:highlight w:val="yellow"/>
        </w:rPr>
      </w:pPr>
    </w:p>
    <w:p w14:paraId="5C09D8FF" w14:textId="5648FAE6" w:rsidR="00BB39B9" w:rsidRPr="00A41096" w:rsidRDefault="00157163">
      <w:pPr>
        <w:pStyle w:val="BodyText"/>
        <w:spacing w:before="1" w:line="312" w:lineRule="auto"/>
        <w:ind w:left="115" w:right="189" w:hanging="10"/>
        <w:jc w:val="both"/>
      </w:pPr>
      <w:r w:rsidRPr="00A41096">
        <w:t>Bolagets</w:t>
      </w:r>
      <w:r w:rsidRPr="00A41096">
        <w:rPr>
          <w:spacing w:val="-11"/>
        </w:rPr>
        <w:t xml:space="preserve"> </w:t>
      </w:r>
      <w:r w:rsidRPr="00A41096">
        <w:t>och</w:t>
      </w:r>
      <w:r w:rsidRPr="00A41096">
        <w:rPr>
          <w:spacing w:val="-9"/>
        </w:rPr>
        <w:t xml:space="preserve"> </w:t>
      </w:r>
      <w:r w:rsidRPr="00A41096">
        <w:t>koncernens</w:t>
      </w:r>
      <w:r w:rsidRPr="00A41096">
        <w:rPr>
          <w:spacing w:val="-11"/>
        </w:rPr>
        <w:t xml:space="preserve"> </w:t>
      </w:r>
      <w:r w:rsidRPr="00A41096">
        <w:t>ekonomiska</w:t>
      </w:r>
      <w:r w:rsidRPr="00A41096">
        <w:rPr>
          <w:spacing w:val="-11"/>
        </w:rPr>
        <w:t xml:space="preserve"> </w:t>
      </w:r>
      <w:r w:rsidRPr="00A41096">
        <w:t>situation</w:t>
      </w:r>
      <w:r w:rsidRPr="00A41096">
        <w:rPr>
          <w:spacing w:val="-9"/>
        </w:rPr>
        <w:t xml:space="preserve"> </w:t>
      </w:r>
      <w:r w:rsidRPr="00A41096">
        <w:t>per</w:t>
      </w:r>
      <w:r w:rsidRPr="00A41096">
        <w:rPr>
          <w:spacing w:val="-11"/>
        </w:rPr>
        <w:t xml:space="preserve"> </w:t>
      </w:r>
      <w:r w:rsidRPr="00A41096">
        <w:t>den</w:t>
      </w:r>
      <w:r w:rsidRPr="00A41096">
        <w:rPr>
          <w:spacing w:val="-9"/>
        </w:rPr>
        <w:t xml:space="preserve"> </w:t>
      </w:r>
      <w:r w:rsidRPr="00A41096">
        <w:t>30</w:t>
      </w:r>
      <w:r w:rsidRPr="00A41096">
        <w:rPr>
          <w:spacing w:val="-10"/>
        </w:rPr>
        <w:t xml:space="preserve"> </w:t>
      </w:r>
      <w:r w:rsidRPr="00A41096">
        <w:t>april</w:t>
      </w:r>
      <w:r w:rsidRPr="00A41096">
        <w:rPr>
          <w:spacing w:val="-10"/>
        </w:rPr>
        <w:t xml:space="preserve"> </w:t>
      </w:r>
      <w:r w:rsidRPr="00A41096">
        <w:t>202</w:t>
      </w:r>
      <w:r w:rsidR="001A34B3">
        <w:t>4</w:t>
      </w:r>
      <w:r w:rsidRPr="00A41096">
        <w:rPr>
          <w:spacing w:val="-10"/>
        </w:rPr>
        <w:t xml:space="preserve"> </w:t>
      </w:r>
      <w:r w:rsidRPr="00A41096">
        <w:t>framgår</w:t>
      </w:r>
      <w:r w:rsidRPr="00A41096">
        <w:rPr>
          <w:spacing w:val="-10"/>
        </w:rPr>
        <w:t xml:space="preserve"> </w:t>
      </w:r>
      <w:r w:rsidRPr="00A41096">
        <w:t>av</w:t>
      </w:r>
      <w:r w:rsidRPr="00A41096">
        <w:rPr>
          <w:spacing w:val="-12"/>
        </w:rPr>
        <w:t xml:space="preserve"> </w:t>
      </w:r>
      <w:r w:rsidRPr="00A41096">
        <w:t>den</w:t>
      </w:r>
      <w:r w:rsidRPr="00A41096">
        <w:rPr>
          <w:spacing w:val="-9"/>
        </w:rPr>
        <w:t xml:space="preserve"> </w:t>
      </w:r>
      <w:r w:rsidRPr="00A41096">
        <w:t>senast</w:t>
      </w:r>
      <w:r w:rsidRPr="00A41096">
        <w:rPr>
          <w:spacing w:val="-9"/>
        </w:rPr>
        <w:t xml:space="preserve"> </w:t>
      </w:r>
      <w:r w:rsidRPr="00A41096">
        <w:t>avgivna bokslutskommunikén per den 30 april 202</w:t>
      </w:r>
      <w:r w:rsidR="001A34B3">
        <w:t>4</w:t>
      </w:r>
      <w:r w:rsidRPr="00A41096">
        <w:t>. Det framgår också av årsredovisningen vilka principer som tillämpats för värderingen av tillgångar, avsättningar och skulder.</w:t>
      </w:r>
    </w:p>
    <w:p w14:paraId="00D6A434" w14:textId="77777777" w:rsidR="00BB39B9" w:rsidRPr="00A41096" w:rsidRDefault="00BB39B9">
      <w:pPr>
        <w:pStyle w:val="BodyText"/>
        <w:spacing w:before="9"/>
        <w:rPr>
          <w:sz w:val="23"/>
          <w:highlight w:val="yellow"/>
        </w:rPr>
      </w:pPr>
    </w:p>
    <w:p w14:paraId="45661224" w14:textId="6B929287" w:rsidR="00BB39B9" w:rsidRPr="00A41096" w:rsidRDefault="00157163">
      <w:pPr>
        <w:pStyle w:val="BodyText"/>
        <w:spacing w:line="312" w:lineRule="auto"/>
        <w:ind w:left="115" w:right="189" w:hanging="10"/>
        <w:jc w:val="both"/>
      </w:pPr>
      <w:r w:rsidRPr="00A41096">
        <w:t>Föreslagen vinstutdelning grundar sig på bokslutet för räkenskapsåret 202</w:t>
      </w:r>
      <w:r w:rsidR="003566C8">
        <w:t>3</w:t>
      </w:r>
      <w:r w:rsidRPr="00A41096">
        <w:t>/2</w:t>
      </w:r>
      <w:r w:rsidR="003566C8">
        <w:t>4</w:t>
      </w:r>
      <w:r w:rsidRPr="00A41096">
        <w:t xml:space="preserve">. Den föreslagna vinstdispositionen samt resultat- och balansräkningar ska framläggas för fastställelse vid årsstämman den </w:t>
      </w:r>
      <w:r w:rsidR="003566C8">
        <w:t>6</w:t>
      </w:r>
      <w:r w:rsidRPr="00A41096">
        <w:t xml:space="preserve"> september 202</w:t>
      </w:r>
      <w:r w:rsidR="003566C8">
        <w:t>4</w:t>
      </w:r>
      <w:r w:rsidRPr="00A41096">
        <w:t>.</w:t>
      </w:r>
    </w:p>
    <w:p w14:paraId="230331A6" w14:textId="77777777" w:rsidR="00CA3016" w:rsidRPr="00A14E89" w:rsidRDefault="00157163">
      <w:pPr>
        <w:pStyle w:val="BodyText"/>
        <w:tabs>
          <w:tab w:val="left" w:pos="5312"/>
        </w:tabs>
        <w:spacing w:before="3" w:line="584" w:lineRule="exact"/>
        <w:ind w:left="106" w:right="3278"/>
      </w:pPr>
      <w:r w:rsidRPr="00A41096">
        <w:t xml:space="preserve">Till </w:t>
      </w:r>
      <w:r w:rsidRPr="00A14E89">
        <w:t xml:space="preserve">årsstämmans förfogande stående vinstmedel (tkr): </w:t>
      </w:r>
    </w:p>
    <w:p w14:paraId="77D2D235" w14:textId="260D533D" w:rsidR="00BB39B9" w:rsidRPr="00A14E89" w:rsidRDefault="00157163">
      <w:pPr>
        <w:pStyle w:val="BodyText"/>
        <w:tabs>
          <w:tab w:val="left" w:pos="5312"/>
        </w:tabs>
        <w:spacing w:before="3" w:line="584" w:lineRule="exact"/>
        <w:ind w:left="106" w:right="3278"/>
      </w:pPr>
      <w:r w:rsidRPr="00A14E89">
        <w:t>Balanserad</w:t>
      </w:r>
      <w:r w:rsidRPr="00A14E89">
        <w:rPr>
          <w:spacing w:val="-1"/>
        </w:rPr>
        <w:t xml:space="preserve"> </w:t>
      </w:r>
      <w:r w:rsidRPr="00A14E89">
        <w:rPr>
          <w:spacing w:val="-2"/>
        </w:rPr>
        <w:t>vinst</w:t>
      </w:r>
      <w:r w:rsidR="000227D2">
        <w:t xml:space="preserve">  </w:t>
      </w:r>
      <w:r w:rsidR="00B3477E">
        <w:tab/>
      </w:r>
      <w:r w:rsidR="00B3477E">
        <w:rPr>
          <w:rFonts w:ascii="Arial" w:eastAsia="Times New Roman" w:hAnsi="Arial" w:cs="Arial"/>
          <w:sz w:val="20"/>
          <w:szCs w:val="20"/>
          <w:lang w:eastAsia="zh-CN"/>
        </w:rPr>
        <w:t>236 368</w:t>
      </w:r>
    </w:p>
    <w:p w14:paraId="6DD72C78" w14:textId="744F0351" w:rsidR="00BB39B9" w:rsidRPr="00A14E89" w:rsidRDefault="004127D8">
      <w:pPr>
        <w:pStyle w:val="BodyText"/>
        <w:tabs>
          <w:tab w:val="left" w:pos="5312"/>
        </w:tabs>
        <w:spacing w:line="209" w:lineRule="exact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6E3670F" wp14:editId="4E115541">
                <wp:simplePos x="0" y="0"/>
                <wp:positionH relativeFrom="page">
                  <wp:posOffset>905510</wp:posOffset>
                </wp:positionH>
                <wp:positionV relativeFrom="paragraph">
                  <wp:posOffset>119380</wp:posOffset>
                </wp:positionV>
                <wp:extent cx="3784600" cy="635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CE0F" id="docshape1" o:spid="_x0000_s1026" style="position:absolute;margin-left:71.3pt;margin-top:9.4pt;width:29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" fillcolor="black" stroked="f">
                <w10:wrap anchorx="page"/>
              </v:rect>
            </w:pict>
          </mc:Fallback>
        </mc:AlternateContent>
      </w:r>
      <w:r w:rsidR="00157163" w:rsidRPr="00A14E89">
        <w:t>Årets</w:t>
      </w:r>
      <w:r w:rsidR="00157163" w:rsidRPr="00A14E89">
        <w:rPr>
          <w:spacing w:val="-2"/>
        </w:rPr>
        <w:t xml:space="preserve"> vinst</w:t>
      </w:r>
      <w:r w:rsidR="00157163" w:rsidRPr="00A14E89">
        <w:tab/>
      </w:r>
      <w:r w:rsidR="00B3477E">
        <w:rPr>
          <w:rFonts w:ascii="Arial" w:eastAsia="Times New Roman" w:hAnsi="Arial" w:cs="Arial"/>
          <w:sz w:val="20"/>
          <w:szCs w:val="20"/>
          <w:lang w:eastAsia="zh-CN"/>
        </w:rPr>
        <w:t>541 143</w:t>
      </w:r>
    </w:p>
    <w:p w14:paraId="72D1E31D" w14:textId="63FE7EE3" w:rsidR="00BB39B9" w:rsidRPr="00A14E89" w:rsidRDefault="004127D8">
      <w:pPr>
        <w:pStyle w:val="Heading1"/>
        <w:tabs>
          <w:tab w:val="left" w:pos="51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F5ADA7" wp14:editId="7F6302B6">
                <wp:simplePos x="0" y="0"/>
                <wp:positionH relativeFrom="page">
                  <wp:posOffset>905510</wp:posOffset>
                </wp:positionH>
                <wp:positionV relativeFrom="paragraph">
                  <wp:posOffset>173990</wp:posOffset>
                </wp:positionV>
                <wp:extent cx="3851910" cy="12065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19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D611" id="docshape2" o:spid="_x0000_s1026" style="position:absolute;margin-left:71.3pt;margin-top:13.7pt;width:303.3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157163" w:rsidRPr="00A14E89">
        <w:rPr>
          <w:spacing w:val="-2"/>
        </w:rPr>
        <w:t>Summa</w:t>
      </w:r>
      <w:r w:rsidR="00157163" w:rsidRPr="00A14E89">
        <w:tab/>
      </w:r>
      <w:r w:rsidR="00A41096" w:rsidRPr="00A14E89">
        <w:t xml:space="preserve"> </w:t>
      </w:r>
      <w:r w:rsidR="00B3477E">
        <w:rPr>
          <w:rFonts w:eastAsia="Times New Roman" w:cs="Calibri"/>
          <w:color w:val="000000"/>
          <w:lang w:eastAsia="zh-CN"/>
        </w:rPr>
        <w:t>777 511</w:t>
      </w:r>
    </w:p>
    <w:p w14:paraId="7902C28C" w14:textId="77777777" w:rsidR="00BB39B9" w:rsidRPr="00A14E89" w:rsidRDefault="00BB39B9">
      <w:pPr>
        <w:pStyle w:val="BodyText"/>
        <w:spacing w:before="3"/>
        <w:rPr>
          <w:b/>
          <w:sz w:val="29"/>
        </w:rPr>
      </w:pPr>
    </w:p>
    <w:p w14:paraId="79EE6E2A" w14:textId="77777777" w:rsidR="00BB39B9" w:rsidRPr="00A14E89" w:rsidRDefault="00157163">
      <w:pPr>
        <w:pStyle w:val="BodyText"/>
        <w:ind w:left="106"/>
      </w:pPr>
      <w:r w:rsidRPr="00A14E89">
        <w:t>Styrelsen</w:t>
      </w:r>
      <w:r w:rsidRPr="00A14E89">
        <w:rPr>
          <w:spacing w:val="-4"/>
        </w:rPr>
        <w:t xml:space="preserve"> </w:t>
      </w:r>
      <w:r w:rsidRPr="00A14E89">
        <w:t>föreslår</w:t>
      </w:r>
      <w:r w:rsidRPr="00A14E89">
        <w:rPr>
          <w:spacing w:val="-4"/>
        </w:rPr>
        <w:t xml:space="preserve"> </w:t>
      </w:r>
      <w:r w:rsidRPr="00A14E89">
        <w:t>att</w:t>
      </w:r>
      <w:r w:rsidRPr="00A14E89">
        <w:rPr>
          <w:spacing w:val="-4"/>
        </w:rPr>
        <w:t xml:space="preserve"> </w:t>
      </w:r>
      <w:r w:rsidRPr="00A14E89">
        <w:t>vinstmedlen</w:t>
      </w:r>
      <w:r w:rsidRPr="00A14E89">
        <w:rPr>
          <w:spacing w:val="-3"/>
        </w:rPr>
        <w:t xml:space="preserve"> </w:t>
      </w:r>
      <w:r w:rsidRPr="00A14E89">
        <w:t>disponeras</w:t>
      </w:r>
      <w:r w:rsidRPr="00A14E89">
        <w:rPr>
          <w:spacing w:val="-5"/>
        </w:rPr>
        <w:t xml:space="preserve"> </w:t>
      </w:r>
      <w:r w:rsidRPr="00A14E89">
        <w:t>på</w:t>
      </w:r>
      <w:r w:rsidRPr="00A14E89">
        <w:rPr>
          <w:spacing w:val="-3"/>
        </w:rPr>
        <w:t xml:space="preserve"> </w:t>
      </w:r>
      <w:r w:rsidRPr="00A14E89">
        <w:t>följande</w:t>
      </w:r>
      <w:r w:rsidRPr="00A14E89">
        <w:rPr>
          <w:spacing w:val="-4"/>
        </w:rPr>
        <w:t xml:space="preserve"> </w:t>
      </w:r>
      <w:r w:rsidRPr="00A14E89">
        <w:rPr>
          <w:spacing w:val="-2"/>
        </w:rPr>
        <w:t>sätt:</w:t>
      </w:r>
    </w:p>
    <w:p w14:paraId="4B054475" w14:textId="77777777" w:rsidR="00BB39B9" w:rsidRPr="00A41096" w:rsidRDefault="00BB39B9">
      <w:pPr>
        <w:pStyle w:val="BodyText"/>
        <w:rPr>
          <w:sz w:val="22"/>
          <w:highlight w:val="yellow"/>
        </w:rPr>
      </w:pPr>
    </w:p>
    <w:p w14:paraId="24201871" w14:textId="77777777" w:rsidR="00BB39B9" w:rsidRPr="00B13A5B" w:rsidRDefault="00BB39B9">
      <w:pPr>
        <w:pStyle w:val="BodyText"/>
        <w:spacing w:before="8"/>
        <w:rPr>
          <w:sz w:val="31"/>
        </w:rPr>
      </w:pPr>
    </w:p>
    <w:p w14:paraId="7E567C04" w14:textId="07B167AD" w:rsidR="00BB39B9" w:rsidRPr="00B13A5B" w:rsidRDefault="00157163">
      <w:pPr>
        <w:pStyle w:val="BodyText"/>
        <w:tabs>
          <w:tab w:val="left" w:pos="5295"/>
        </w:tabs>
        <w:ind w:left="106"/>
      </w:pPr>
      <w:r w:rsidRPr="00B13A5B">
        <w:t>Till</w:t>
      </w:r>
      <w:r w:rsidRPr="00B13A5B">
        <w:rPr>
          <w:spacing w:val="-2"/>
        </w:rPr>
        <w:t xml:space="preserve"> </w:t>
      </w:r>
      <w:r w:rsidRPr="00B13A5B">
        <w:t>aktieägare</w:t>
      </w:r>
      <w:r w:rsidRPr="00B13A5B">
        <w:rPr>
          <w:spacing w:val="-2"/>
        </w:rPr>
        <w:t xml:space="preserve"> </w:t>
      </w:r>
      <w:r w:rsidRPr="00B13A5B">
        <w:t>utdelas</w:t>
      </w:r>
      <w:r w:rsidRPr="00B13A5B">
        <w:rPr>
          <w:spacing w:val="-3"/>
        </w:rPr>
        <w:t xml:space="preserve"> </w:t>
      </w:r>
      <w:r w:rsidR="00B3477E">
        <w:t>4,25</w:t>
      </w:r>
      <w:r w:rsidRPr="00B13A5B">
        <w:rPr>
          <w:spacing w:val="-1"/>
        </w:rPr>
        <w:t xml:space="preserve"> </w:t>
      </w:r>
      <w:r w:rsidRPr="00B13A5B">
        <w:t>kronor</w:t>
      </w:r>
      <w:r w:rsidRPr="00B13A5B">
        <w:rPr>
          <w:spacing w:val="-3"/>
        </w:rPr>
        <w:t xml:space="preserve"> </w:t>
      </w:r>
      <w:r w:rsidRPr="00B13A5B">
        <w:t>per</w:t>
      </w:r>
      <w:r w:rsidRPr="00B13A5B">
        <w:rPr>
          <w:spacing w:val="-2"/>
        </w:rPr>
        <w:t xml:space="preserve"> </w:t>
      </w:r>
      <w:r w:rsidRPr="00B13A5B">
        <w:rPr>
          <w:spacing w:val="-4"/>
        </w:rPr>
        <w:t>aktie</w:t>
      </w:r>
      <w:r w:rsidR="00B3477E">
        <w:tab/>
        <w:t>278 800</w:t>
      </w:r>
    </w:p>
    <w:p w14:paraId="56E0A4E8" w14:textId="38A41487" w:rsidR="00BB39B9" w:rsidRPr="00B13A5B" w:rsidRDefault="00157163">
      <w:pPr>
        <w:pStyle w:val="BodyText"/>
        <w:tabs>
          <w:tab w:val="left" w:pos="5290"/>
        </w:tabs>
        <w:spacing w:before="69"/>
        <w:ind w:left="106"/>
      </w:pPr>
      <w:r w:rsidRPr="00B13A5B">
        <w:rPr>
          <w:u w:val="single"/>
        </w:rPr>
        <w:t>I ny</w:t>
      </w:r>
      <w:r w:rsidRPr="00B13A5B">
        <w:rPr>
          <w:spacing w:val="-2"/>
          <w:u w:val="single"/>
        </w:rPr>
        <w:t xml:space="preserve"> </w:t>
      </w:r>
      <w:r w:rsidRPr="00B13A5B">
        <w:rPr>
          <w:u w:val="single"/>
        </w:rPr>
        <w:t xml:space="preserve">räkning </w:t>
      </w:r>
      <w:r w:rsidRPr="00B13A5B">
        <w:rPr>
          <w:spacing w:val="-2"/>
          <w:u w:val="single"/>
        </w:rPr>
        <w:t>överföres</w:t>
      </w:r>
      <w:r w:rsidRPr="00B13A5B">
        <w:rPr>
          <w:u w:val="single"/>
        </w:rPr>
        <w:tab/>
      </w:r>
      <w:r w:rsidR="00B3477E">
        <w:rPr>
          <w:u w:val="single"/>
        </w:rPr>
        <w:t>498 711</w:t>
      </w:r>
    </w:p>
    <w:p w14:paraId="03233113" w14:textId="14681AE4" w:rsidR="00BB39B9" w:rsidRPr="00AA1FDC" w:rsidRDefault="004127D8">
      <w:pPr>
        <w:pStyle w:val="Heading1"/>
        <w:tabs>
          <w:tab w:val="left" w:pos="5154"/>
        </w:tabs>
        <w:spacing w:before="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13953E" wp14:editId="27A36573">
                <wp:simplePos x="0" y="0"/>
                <wp:positionH relativeFrom="page">
                  <wp:posOffset>905510</wp:posOffset>
                </wp:positionH>
                <wp:positionV relativeFrom="paragraph">
                  <wp:posOffset>174625</wp:posOffset>
                </wp:positionV>
                <wp:extent cx="3853180" cy="12065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31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B4F8" id="docshape3" o:spid="_x0000_s1026" style="position:absolute;margin-left:71.3pt;margin-top:13.75pt;width:303.4pt;height: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157163" w:rsidRPr="00B13A5B">
        <w:rPr>
          <w:spacing w:val="-2"/>
        </w:rPr>
        <w:t>Totalt</w:t>
      </w:r>
      <w:r w:rsidR="00B3477E">
        <w:tab/>
        <w:t xml:space="preserve">  777 511</w:t>
      </w:r>
    </w:p>
    <w:p w14:paraId="781E62BE" w14:textId="77777777" w:rsidR="00BB39B9" w:rsidRPr="00A41096" w:rsidRDefault="00BB39B9">
      <w:pPr>
        <w:pStyle w:val="BodyText"/>
        <w:spacing w:before="1"/>
        <w:rPr>
          <w:b/>
          <w:sz w:val="21"/>
          <w:highlight w:val="yellow"/>
        </w:rPr>
      </w:pPr>
    </w:p>
    <w:p w14:paraId="40BEFFBF" w14:textId="1EF7F46F" w:rsidR="00BB39B9" w:rsidRPr="00B81B6C" w:rsidRDefault="00157163">
      <w:pPr>
        <w:pStyle w:val="BodyText"/>
        <w:spacing w:before="101" w:line="309" w:lineRule="auto"/>
        <w:ind w:left="115" w:right="190" w:hanging="10"/>
        <w:jc w:val="both"/>
      </w:pPr>
      <w:r w:rsidRPr="00B81B6C">
        <w:t xml:space="preserve">Den föreslagna </w:t>
      </w:r>
      <w:r w:rsidRPr="00092710">
        <w:t xml:space="preserve">vinstutdelningen utgör </w:t>
      </w:r>
      <w:r w:rsidR="00C22AF1">
        <w:t>28,6</w:t>
      </w:r>
      <w:r w:rsidRPr="00092710">
        <w:t xml:space="preserve"> procent av Bolagets eget kapital och </w:t>
      </w:r>
      <w:r w:rsidR="00C22AF1">
        <w:t xml:space="preserve">15,1 </w:t>
      </w:r>
      <w:r w:rsidRPr="00092710">
        <w:t>procent av koncernens eget kapital.</w:t>
      </w:r>
    </w:p>
    <w:p w14:paraId="7A66225E" w14:textId="77777777" w:rsidR="00BB39B9" w:rsidRPr="00A41096" w:rsidRDefault="00BB39B9">
      <w:pPr>
        <w:pStyle w:val="BodyText"/>
        <w:spacing w:before="11"/>
        <w:rPr>
          <w:sz w:val="23"/>
          <w:highlight w:val="yellow"/>
        </w:rPr>
      </w:pPr>
    </w:p>
    <w:p w14:paraId="3B416423" w14:textId="6E3F9063" w:rsidR="00BB39B9" w:rsidRPr="006B1242" w:rsidRDefault="00157163" w:rsidP="006B1242">
      <w:pPr>
        <w:pStyle w:val="BodyText"/>
        <w:spacing w:line="312" w:lineRule="auto"/>
        <w:ind w:left="115" w:right="188" w:hanging="10"/>
        <w:jc w:val="both"/>
      </w:pPr>
      <w:r w:rsidRPr="006B1242">
        <w:t xml:space="preserve">Enligt Bolagets utdelningspolicy ska utdelningen utgöra minst hälften av resultatet per aktie efter skatt med beaktande av den finansiella ställningen. Styrelsen föreslår en vinstutdelning </w:t>
      </w:r>
      <w:r w:rsidRPr="00990BEA">
        <w:t xml:space="preserve">på </w:t>
      </w:r>
      <w:r w:rsidR="00B3477E">
        <w:t xml:space="preserve">4,25 </w:t>
      </w:r>
      <w:r w:rsidR="00990BEA">
        <w:t xml:space="preserve">kronor per </w:t>
      </w:r>
      <w:r w:rsidR="00990BEA" w:rsidRPr="00484CDF">
        <w:t>aktie (</w:t>
      </w:r>
      <w:r w:rsidR="00B3477E">
        <w:t xml:space="preserve">1,50 </w:t>
      </w:r>
      <w:r w:rsidR="00484CDF" w:rsidRPr="00EE4222">
        <w:t xml:space="preserve">kronor </w:t>
      </w:r>
      <w:r w:rsidR="00913D61" w:rsidRPr="00484CDF">
        <w:t>föregående år</w:t>
      </w:r>
      <w:r w:rsidR="00990BEA" w:rsidRPr="00484CDF">
        <w:t>)</w:t>
      </w:r>
      <w:r w:rsidRPr="006B1242">
        <w:t xml:space="preserve"> för verksamhetsåret 202</w:t>
      </w:r>
      <w:r w:rsidR="00B3477E">
        <w:t xml:space="preserve">3/24, vilket utgör </w:t>
      </w:r>
      <w:r w:rsidR="00527A74">
        <w:t>5</w:t>
      </w:r>
      <w:r w:rsidR="00BC3E32">
        <w:t>5</w:t>
      </w:r>
      <w:r w:rsidRPr="004116BB">
        <w:t xml:space="preserve"> procent</w:t>
      </w:r>
      <w:r w:rsidR="00614992">
        <w:t xml:space="preserve"> av</w:t>
      </w:r>
      <w:r w:rsidRPr="006B1242">
        <w:t xml:space="preserve"> </w:t>
      </w:r>
      <w:r w:rsidR="00B3477E">
        <w:t>koncernens resultat efter skatt,</w:t>
      </w:r>
      <w:r w:rsidRPr="006B1242">
        <w:t xml:space="preserve"> vilket med hänsyn till bolagets resultat, likviditet och ställning bedöms vara en försvarbar nivå.</w:t>
      </w:r>
      <w:r w:rsidR="006B1242" w:rsidRPr="006B1242">
        <w:t xml:space="preserve"> </w:t>
      </w:r>
    </w:p>
    <w:p w14:paraId="56AB7372" w14:textId="77777777" w:rsidR="00BB39B9" w:rsidRPr="005F580C" w:rsidRDefault="00BB39B9">
      <w:pPr>
        <w:pStyle w:val="BodyText"/>
        <w:spacing w:before="2"/>
        <w:rPr>
          <w:sz w:val="24"/>
        </w:rPr>
      </w:pPr>
    </w:p>
    <w:p w14:paraId="584C6598" w14:textId="77C4B341" w:rsidR="00744E42" w:rsidRDefault="00157163" w:rsidP="00744E42">
      <w:pPr>
        <w:pStyle w:val="BodyText"/>
        <w:spacing w:line="312" w:lineRule="auto"/>
        <w:ind w:left="120" w:right="188"/>
        <w:jc w:val="both"/>
      </w:pPr>
      <w:r w:rsidRPr="005F580C">
        <w:t>Bolagets</w:t>
      </w:r>
      <w:r w:rsidRPr="005F580C">
        <w:rPr>
          <w:spacing w:val="-6"/>
        </w:rPr>
        <w:t xml:space="preserve"> </w:t>
      </w:r>
      <w:r w:rsidRPr="005F580C">
        <w:t>soliditet</w:t>
      </w:r>
      <w:r w:rsidRPr="005F580C">
        <w:rPr>
          <w:spacing w:val="-5"/>
        </w:rPr>
        <w:t xml:space="preserve"> </w:t>
      </w:r>
      <w:r w:rsidRPr="005F580C">
        <w:t>uppgår</w:t>
      </w:r>
      <w:r w:rsidRPr="005F580C">
        <w:rPr>
          <w:spacing w:val="-6"/>
        </w:rPr>
        <w:t xml:space="preserve"> </w:t>
      </w:r>
      <w:r w:rsidRPr="005F580C">
        <w:t>till</w:t>
      </w:r>
      <w:r w:rsidRPr="005F580C">
        <w:rPr>
          <w:spacing w:val="-2"/>
        </w:rPr>
        <w:t xml:space="preserve"> </w:t>
      </w:r>
      <w:r w:rsidR="00C22AF1">
        <w:t>30,7</w:t>
      </w:r>
      <w:r w:rsidRPr="005F580C">
        <w:rPr>
          <w:spacing w:val="-5"/>
        </w:rPr>
        <w:t xml:space="preserve"> </w:t>
      </w:r>
      <w:r w:rsidRPr="005F580C">
        <w:t>procent</w:t>
      </w:r>
      <w:r w:rsidRPr="005F580C">
        <w:rPr>
          <w:spacing w:val="-5"/>
        </w:rPr>
        <w:t xml:space="preserve"> </w:t>
      </w:r>
      <w:r w:rsidRPr="005F580C">
        <w:t>före</w:t>
      </w:r>
      <w:r w:rsidRPr="005F580C">
        <w:rPr>
          <w:spacing w:val="-5"/>
        </w:rPr>
        <w:t xml:space="preserve"> </w:t>
      </w:r>
      <w:r w:rsidRPr="00476701">
        <w:t>utdelning</w:t>
      </w:r>
      <w:r w:rsidRPr="00476701">
        <w:rPr>
          <w:spacing w:val="-5"/>
        </w:rPr>
        <w:t xml:space="preserve"> </w:t>
      </w:r>
      <w:r w:rsidRPr="00476701">
        <w:t>och</w:t>
      </w:r>
      <w:r w:rsidRPr="00476701">
        <w:rPr>
          <w:spacing w:val="-2"/>
        </w:rPr>
        <w:t xml:space="preserve"> </w:t>
      </w:r>
      <w:r w:rsidR="007D1258">
        <w:t>24,1</w:t>
      </w:r>
      <w:r w:rsidRPr="00476701">
        <w:rPr>
          <w:spacing w:val="-5"/>
        </w:rPr>
        <w:t xml:space="preserve"> </w:t>
      </w:r>
      <w:r w:rsidRPr="00476701">
        <w:t>procent</w:t>
      </w:r>
      <w:r w:rsidRPr="005F580C">
        <w:rPr>
          <w:spacing w:val="-5"/>
        </w:rPr>
        <w:t xml:space="preserve"> </w:t>
      </w:r>
      <w:r w:rsidRPr="005F580C">
        <w:t>efter</w:t>
      </w:r>
      <w:r w:rsidRPr="005F580C">
        <w:rPr>
          <w:spacing w:val="-6"/>
        </w:rPr>
        <w:t xml:space="preserve"> </w:t>
      </w:r>
      <w:r w:rsidRPr="005F580C">
        <w:t>utdelning</w:t>
      </w:r>
      <w:r w:rsidRPr="005F580C">
        <w:rPr>
          <w:spacing w:val="-5"/>
        </w:rPr>
        <w:t xml:space="preserve"> </w:t>
      </w:r>
      <w:r w:rsidRPr="005F580C">
        <w:t>(exklusive eget</w:t>
      </w:r>
      <w:r w:rsidRPr="005F580C">
        <w:rPr>
          <w:spacing w:val="-15"/>
        </w:rPr>
        <w:t xml:space="preserve"> </w:t>
      </w:r>
      <w:r w:rsidRPr="005F580C">
        <w:t>kapitaldel</w:t>
      </w:r>
      <w:r w:rsidRPr="005F580C">
        <w:rPr>
          <w:spacing w:val="-15"/>
        </w:rPr>
        <w:t xml:space="preserve"> </w:t>
      </w:r>
      <w:r w:rsidRPr="005F580C">
        <w:t>av</w:t>
      </w:r>
      <w:r w:rsidRPr="005F580C">
        <w:rPr>
          <w:spacing w:val="-16"/>
        </w:rPr>
        <w:t xml:space="preserve"> </w:t>
      </w:r>
      <w:r w:rsidRPr="005F580C">
        <w:t>obeskattade</w:t>
      </w:r>
      <w:r w:rsidRPr="005F580C">
        <w:rPr>
          <w:spacing w:val="-14"/>
        </w:rPr>
        <w:t xml:space="preserve"> </w:t>
      </w:r>
      <w:r w:rsidRPr="005F580C">
        <w:t>reserver</w:t>
      </w:r>
      <w:r w:rsidR="00750E96">
        <w:t xml:space="preserve"> uppgående till </w:t>
      </w:r>
      <w:r w:rsidR="00C22AF1">
        <w:t>562,5</w:t>
      </w:r>
      <w:r w:rsidR="00750E96">
        <w:t xml:space="preserve"> Mkr</w:t>
      </w:r>
      <w:r w:rsidRPr="005F580C">
        <w:t>).</w:t>
      </w:r>
      <w:r w:rsidRPr="005F580C">
        <w:rPr>
          <w:spacing w:val="-11"/>
        </w:rPr>
        <w:t xml:space="preserve"> </w:t>
      </w:r>
      <w:r w:rsidRPr="005F580C">
        <w:t>Koncernens</w:t>
      </w:r>
      <w:r w:rsidRPr="005F580C">
        <w:rPr>
          <w:spacing w:val="-16"/>
        </w:rPr>
        <w:t xml:space="preserve"> </w:t>
      </w:r>
      <w:r w:rsidRPr="005F580C">
        <w:t>soliditet</w:t>
      </w:r>
      <w:r w:rsidRPr="005F580C">
        <w:rPr>
          <w:spacing w:val="-14"/>
        </w:rPr>
        <w:t xml:space="preserve"> </w:t>
      </w:r>
      <w:r w:rsidRPr="005F580C">
        <w:t>uppgår</w:t>
      </w:r>
      <w:r w:rsidRPr="005F580C">
        <w:rPr>
          <w:spacing w:val="-13"/>
        </w:rPr>
        <w:t xml:space="preserve"> </w:t>
      </w:r>
      <w:r w:rsidRPr="00060B7D">
        <w:t>till</w:t>
      </w:r>
      <w:r w:rsidRPr="00060B7D">
        <w:rPr>
          <w:spacing w:val="-14"/>
        </w:rPr>
        <w:t xml:space="preserve"> </w:t>
      </w:r>
      <w:r w:rsidR="00C22AF1">
        <w:rPr>
          <w:spacing w:val="-14"/>
        </w:rPr>
        <w:t>31,6</w:t>
      </w:r>
      <w:r w:rsidRPr="005F580C">
        <w:rPr>
          <w:spacing w:val="-14"/>
        </w:rPr>
        <w:t xml:space="preserve"> </w:t>
      </w:r>
      <w:r w:rsidRPr="005F580C">
        <w:t>procent</w:t>
      </w:r>
      <w:r w:rsidRPr="005F580C">
        <w:rPr>
          <w:spacing w:val="-14"/>
        </w:rPr>
        <w:t xml:space="preserve"> </w:t>
      </w:r>
      <w:r w:rsidRPr="005F580C">
        <w:t>före</w:t>
      </w:r>
      <w:r w:rsidRPr="005F580C">
        <w:rPr>
          <w:spacing w:val="-15"/>
        </w:rPr>
        <w:t xml:space="preserve"> </w:t>
      </w:r>
      <w:r w:rsidRPr="005F580C">
        <w:t xml:space="preserve">utdelning och </w:t>
      </w:r>
      <w:r w:rsidR="00C22AF1">
        <w:t>28,2</w:t>
      </w:r>
      <w:r w:rsidR="00810505">
        <w:t xml:space="preserve"> procent efter utdelning.</w:t>
      </w:r>
      <w:r w:rsidRPr="009F0260">
        <w:rPr>
          <w:color w:val="FF0000"/>
        </w:rPr>
        <w:t xml:space="preserve"> </w:t>
      </w:r>
      <w:r w:rsidRPr="005F580C">
        <w:t xml:space="preserve">Detta bedöms vara en fullgod soliditet. </w:t>
      </w:r>
    </w:p>
    <w:p w14:paraId="5E2B2DED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52BE1F98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42E4F23F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4FFD2062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079B67B0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25B5B028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5D4A1A62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1627DA90" w14:textId="77777777" w:rsidR="00744E42" w:rsidRDefault="00744E42" w:rsidP="00744E42">
      <w:pPr>
        <w:pStyle w:val="BodyText"/>
        <w:spacing w:line="312" w:lineRule="auto"/>
        <w:ind w:left="120" w:right="188"/>
        <w:jc w:val="both"/>
      </w:pPr>
    </w:p>
    <w:p w14:paraId="44CC1D07" w14:textId="3151EE08" w:rsidR="00BB39B9" w:rsidRPr="00A41096" w:rsidRDefault="00157163" w:rsidP="00EE4222">
      <w:pPr>
        <w:pStyle w:val="BodyText"/>
        <w:spacing w:line="312" w:lineRule="auto"/>
        <w:ind w:left="120" w:right="188"/>
        <w:jc w:val="both"/>
        <w:rPr>
          <w:highlight w:val="yellow"/>
        </w:rPr>
      </w:pPr>
      <w:r w:rsidRPr="005F580C">
        <w:t>Tillgångar</w:t>
      </w:r>
      <w:r w:rsidR="00744E42">
        <w:t xml:space="preserve"> </w:t>
      </w:r>
      <w:r w:rsidR="004127D8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251407E" wp14:editId="3EE1BE71">
                <wp:simplePos x="0" y="0"/>
                <wp:positionH relativeFrom="page">
                  <wp:posOffset>457200</wp:posOffset>
                </wp:positionH>
                <wp:positionV relativeFrom="page">
                  <wp:posOffset>554990</wp:posOffset>
                </wp:positionV>
                <wp:extent cx="8890" cy="722630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226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4F5D" id="docshape4" o:spid="_x0000_s1026" style="position:absolute;margin-left:36pt;margin-top:43.7pt;width:.7pt;height:5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="004127D8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223FADC" wp14:editId="55A0A7C9">
                <wp:simplePos x="0" y="0"/>
                <wp:positionH relativeFrom="page">
                  <wp:posOffset>457200</wp:posOffset>
                </wp:positionH>
                <wp:positionV relativeFrom="page">
                  <wp:posOffset>1457325</wp:posOffset>
                </wp:positionV>
                <wp:extent cx="8890" cy="18161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1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BEC6D" id="docshape5" o:spid="_x0000_s1026" style="position:absolute;margin-left:36pt;margin-top:114.75pt;width:.7pt;height:14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 w:rsidRPr="00A535D6">
        <w:t>och</w:t>
      </w:r>
      <w:r w:rsidRPr="00A535D6">
        <w:rPr>
          <w:spacing w:val="-9"/>
        </w:rPr>
        <w:t xml:space="preserve"> </w:t>
      </w:r>
      <w:r w:rsidRPr="00A535D6">
        <w:t>skulder</w:t>
      </w:r>
      <w:r w:rsidRPr="00A535D6">
        <w:rPr>
          <w:spacing w:val="-10"/>
        </w:rPr>
        <w:t xml:space="preserve"> </w:t>
      </w:r>
      <w:r w:rsidRPr="00A535D6">
        <w:t>i</w:t>
      </w:r>
      <w:r w:rsidRPr="00A535D6">
        <w:rPr>
          <w:spacing w:val="-9"/>
        </w:rPr>
        <w:t xml:space="preserve"> </w:t>
      </w:r>
      <w:r w:rsidRPr="00A535D6">
        <w:t>Bolaget</w:t>
      </w:r>
      <w:r w:rsidRPr="00A535D6">
        <w:rPr>
          <w:spacing w:val="-9"/>
        </w:rPr>
        <w:t xml:space="preserve"> </w:t>
      </w:r>
      <w:r w:rsidRPr="00A535D6">
        <w:t>har</w:t>
      </w:r>
      <w:r w:rsidRPr="00A535D6">
        <w:rPr>
          <w:spacing w:val="-7"/>
        </w:rPr>
        <w:t xml:space="preserve"> </w:t>
      </w:r>
      <w:r w:rsidRPr="00A535D6">
        <w:t>efter</w:t>
      </w:r>
      <w:r w:rsidRPr="00A535D6">
        <w:rPr>
          <w:spacing w:val="-10"/>
        </w:rPr>
        <w:t xml:space="preserve"> </w:t>
      </w:r>
      <w:r w:rsidRPr="00A535D6">
        <w:t>utdelning</w:t>
      </w:r>
      <w:r w:rsidRPr="00A535D6">
        <w:rPr>
          <w:spacing w:val="-8"/>
        </w:rPr>
        <w:t xml:space="preserve"> </w:t>
      </w:r>
      <w:r w:rsidRPr="00A535D6">
        <w:t>värderats</w:t>
      </w:r>
      <w:r w:rsidRPr="00A535D6">
        <w:rPr>
          <w:spacing w:val="-10"/>
        </w:rPr>
        <w:t xml:space="preserve"> </w:t>
      </w:r>
      <w:r w:rsidRPr="00593666">
        <w:t>till</w:t>
      </w:r>
      <w:r w:rsidRPr="00593666">
        <w:rPr>
          <w:spacing w:val="-10"/>
        </w:rPr>
        <w:t xml:space="preserve"> </w:t>
      </w:r>
      <w:r w:rsidR="006004F3">
        <w:t xml:space="preserve">2 893,0 </w:t>
      </w:r>
      <w:r w:rsidR="004256CA" w:rsidRPr="004256CA">
        <w:t xml:space="preserve">Mkr respektive </w:t>
      </w:r>
      <w:r w:rsidR="006004F3">
        <w:t xml:space="preserve">2 196,9 </w:t>
      </w:r>
      <w:r w:rsidR="004256CA" w:rsidRPr="004256CA">
        <w:t>Mkr (inklusive obeskattade reserver). Moderbolagets fria egna kapital hade varit 246,0 Mkr högre om tillgångar och skulder inte hade värderats till verkligt värde i enlighet med 4 kap 14 a § årsredovisningslagen.</w:t>
      </w:r>
      <w:r w:rsidR="004256CA">
        <w:t xml:space="preserve"> </w:t>
      </w:r>
      <w:r w:rsidRPr="004D1D1D">
        <w:t xml:space="preserve">Nettoskuld/EBITDA i koncernen uppgår till </w:t>
      </w:r>
      <w:r w:rsidR="002645C5">
        <w:t>1,</w:t>
      </w:r>
      <w:r w:rsidR="004256CA">
        <w:t>0</w:t>
      </w:r>
      <w:r w:rsidRPr="004D1D1D">
        <w:t xml:space="preserve"> gånger per den 30 april </w:t>
      </w:r>
      <w:r w:rsidRPr="00810505">
        <w:t>202</w:t>
      </w:r>
      <w:r w:rsidR="004256CA">
        <w:t>4</w:t>
      </w:r>
      <w:r w:rsidRPr="00810505">
        <w:t xml:space="preserve"> (</w:t>
      </w:r>
      <w:r w:rsidR="004256CA">
        <w:t>-</w:t>
      </w:r>
      <w:r w:rsidR="00810505" w:rsidRPr="00810505">
        <w:t>0,2</w:t>
      </w:r>
      <w:r w:rsidRPr="00810505">
        <w:t xml:space="preserve"> exkl IFRS 16). </w:t>
      </w:r>
      <w:r w:rsidRPr="00787A9D">
        <w:t>Beträffande Bolagets resultat och ställning i övrigt hänvisas till resultat- och balansräkningar med tillhörande</w:t>
      </w:r>
      <w:r w:rsidRPr="00787A9D">
        <w:rPr>
          <w:spacing w:val="-16"/>
        </w:rPr>
        <w:t xml:space="preserve"> </w:t>
      </w:r>
      <w:r w:rsidRPr="00787A9D">
        <w:t>bokslutskommentarer</w:t>
      </w:r>
      <w:r w:rsidRPr="00787A9D">
        <w:rPr>
          <w:spacing w:val="-16"/>
        </w:rPr>
        <w:t xml:space="preserve"> </w:t>
      </w:r>
      <w:r w:rsidRPr="00787A9D">
        <w:t>som</w:t>
      </w:r>
      <w:r w:rsidRPr="00787A9D">
        <w:rPr>
          <w:spacing w:val="-16"/>
        </w:rPr>
        <w:t xml:space="preserve"> </w:t>
      </w:r>
      <w:r w:rsidRPr="00787A9D">
        <w:t>framgår</w:t>
      </w:r>
      <w:r w:rsidRPr="00787A9D">
        <w:rPr>
          <w:spacing w:val="-16"/>
        </w:rPr>
        <w:t xml:space="preserve"> </w:t>
      </w:r>
      <w:r w:rsidRPr="00787A9D">
        <w:t>av</w:t>
      </w:r>
      <w:r w:rsidRPr="00787A9D">
        <w:rPr>
          <w:spacing w:val="-16"/>
        </w:rPr>
        <w:t xml:space="preserve"> </w:t>
      </w:r>
      <w:r w:rsidRPr="00787A9D">
        <w:t>bokslutskommunikén</w:t>
      </w:r>
      <w:r w:rsidRPr="00787A9D">
        <w:rPr>
          <w:spacing w:val="-15"/>
        </w:rPr>
        <w:t xml:space="preserve"> </w:t>
      </w:r>
      <w:r w:rsidRPr="00787A9D">
        <w:t>för</w:t>
      </w:r>
      <w:r w:rsidRPr="00787A9D">
        <w:rPr>
          <w:spacing w:val="-16"/>
        </w:rPr>
        <w:t xml:space="preserve"> </w:t>
      </w:r>
      <w:r w:rsidRPr="00787A9D">
        <w:t>räkenskapsåret</w:t>
      </w:r>
      <w:r w:rsidRPr="00787A9D">
        <w:rPr>
          <w:spacing w:val="-16"/>
        </w:rPr>
        <w:t xml:space="preserve"> </w:t>
      </w:r>
      <w:r w:rsidRPr="00787A9D">
        <w:t>202</w:t>
      </w:r>
      <w:r w:rsidR="004256CA">
        <w:t>3</w:t>
      </w:r>
      <w:r w:rsidRPr="00787A9D">
        <w:t>/2</w:t>
      </w:r>
      <w:r w:rsidR="004256CA">
        <w:t>4</w:t>
      </w:r>
      <w:r w:rsidRPr="00787A9D">
        <w:t>. Likviditeten i Bolaget och koncernen bedöms vara fortsatt god. Bolagets och koncernens soliditet och likviditet bedöms även vara god i relation till den bransch Bolaget och koncernen verkar inom.</w:t>
      </w:r>
    </w:p>
    <w:p w14:paraId="65827693" w14:textId="77777777" w:rsidR="00BB39B9" w:rsidRPr="00A41096" w:rsidRDefault="00BB39B9">
      <w:pPr>
        <w:pStyle w:val="BodyText"/>
        <w:spacing w:before="9"/>
        <w:rPr>
          <w:sz w:val="23"/>
          <w:highlight w:val="yellow"/>
        </w:rPr>
      </w:pPr>
    </w:p>
    <w:p w14:paraId="590BC7DB" w14:textId="77777777" w:rsidR="00BB39B9" w:rsidRPr="00685CCC" w:rsidRDefault="00157163">
      <w:pPr>
        <w:pStyle w:val="BodyText"/>
        <w:spacing w:line="312" w:lineRule="auto"/>
        <w:ind w:left="115" w:right="189" w:hanging="10"/>
        <w:jc w:val="both"/>
      </w:pPr>
      <w:r w:rsidRPr="00685CCC">
        <w:t>Styrelsens</w:t>
      </w:r>
      <w:r w:rsidRPr="00685CCC">
        <w:rPr>
          <w:spacing w:val="-15"/>
        </w:rPr>
        <w:t xml:space="preserve"> </w:t>
      </w:r>
      <w:r w:rsidRPr="00685CCC">
        <w:t>uppfattning</w:t>
      </w:r>
      <w:r w:rsidRPr="00685CCC">
        <w:rPr>
          <w:spacing w:val="-14"/>
        </w:rPr>
        <w:t xml:space="preserve"> </w:t>
      </w:r>
      <w:r w:rsidRPr="00685CCC">
        <w:t>är</w:t>
      </w:r>
      <w:r w:rsidRPr="00685CCC">
        <w:rPr>
          <w:spacing w:val="-14"/>
        </w:rPr>
        <w:t xml:space="preserve"> </w:t>
      </w:r>
      <w:r w:rsidRPr="00685CCC">
        <w:t>att</w:t>
      </w:r>
      <w:r w:rsidRPr="00685CCC">
        <w:rPr>
          <w:spacing w:val="-13"/>
        </w:rPr>
        <w:t xml:space="preserve"> </w:t>
      </w:r>
      <w:r w:rsidRPr="00685CCC">
        <w:t>den</w:t>
      </w:r>
      <w:r w:rsidRPr="00685CCC">
        <w:rPr>
          <w:spacing w:val="-13"/>
        </w:rPr>
        <w:t xml:space="preserve"> </w:t>
      </w:r>
      <w:r w:rsidRPr="00685CCC">
        <w:t>föreslagna</w:t>
      </w:r>
      <w:r w:rsidRPr="00685CCC">
        <w:rPr>
          <w:spacing w:val="-14"/>
        </w:rPr>
        <w:t xml:space="preserve"> </w:t>
      </w:r>
      <w:r w:rsidRPr="00685CCC">
        <w:t>utdelningen</w:t>
      </w:r>
      <w:r w:rsidRPr="00685CCC">
        <w:rPr>
          <w:spacing w:val="-13"/>
        </w:rPr>
        <w:t xml:space="preserve"> </w:t>
      </w:r>
      <w:r w:rsidRPr="00685CCC">
        <w:t>inte</w:t>
      </w:r>
      <w:r w:rsidRPr="00685CCC">
        <w:rPr>
          <w:spacing w:val="-14"/>
        </w:rPr>
        <w:t xml:space="preserve"> </w:t>
      </w:r>
      <w:r w:rsidRPr="00685CCC">
        <w:t>hindrar</w:t>
      </w:r>
      <w:r w:rsidRPr="00685CCC">
        <w:rPr>
          <w:spacing w:val="-15"/>
        </w:rPr>
        <w:t xml:space="preserve"> </w:t>
      </w:r>
      <w:r w:rsidRPr="00685CCC">
        <w:t>Bolaget,</w:t>
      </w:r>
      <w:r w:rsidRPr="00685CCC">
        <w:rPr>
          <w:spacing w:val="-15"/>
        </w:rPr>
        <w:t xml:space="preserve"> </w:t>
      </w:r>
      <w:r w:rsidRPr="00685CCC">
        <w:t>och</w:t>
      </w:r>
      <w:r w:rsidRPr="00685CCC">
        <w:rPr>
          <w:spacing w:val="-13"/>
        </w:rPr>
        <w:t xml:space="preserve"> </w:t>
      </w:r>
      <w:r w:rsidRPr="00685CCC">
        <w:t>övriga</w:t>
      </w:r>
      <w:r w:rsidRPr="00685CCC">
        <w:rPr>
          <w:spacing w:val="-14"/>
        </w:rPr>
        <w:t xml:space="preserve"> </w:t>
      </w:r>
      <w:r w:rsidRPr="00685CCC">
        <w:t>i</w:t>
      </w:r>
      <w:r w:rsidRPr="00685CCC">
        <w:rPr>
          <w:spacing w:val="-14"/>
        </w:rPr>
        <w:t xml:space="preserve"> </w:t>
      </w:r>
      <w:r w:rsidRPr="00685CCC">
        <w:t>koncernen ingående</w:t>
      </w:r>
      <w:r w:rsidRPr="00685CCC">
        <w:rPr>
          <w:spacing w:val="-8"/>
        </w:rPr>
        <w:t xml:space="preserve"> </w:t>
      </w:r>
      <w:r w:rsidRPr="00685CCC">
        <w:t>bolag,</w:t>
      </w:r>
      <w:r w:rsidRPr="00685CCC">
        <w:rPr>
          <w:spacing w:val="-8"/>
        </w:rPr>
        <w:t xml:space="preserve"> </w:t>
      </w:r>
      <w:r w:rsidRPr="00685CCC">
        <w:t>från</w:t>
      </w:r>
      <w:r w:rsidRPr="00685CCC">
        <w:rPr>
          <w:spacing w:val="-7"/>
        </w:rPr>
        <w:t xml:space="preserve"> </w:t>
      </w:r>
      <w:r w:rsidRPr="00685CCC">
        <w:t>att</w:t>
      </w:r>
      <w:r w:rsidRPr="00685CCC">
        <w:rPr>
          <w:spacing w:val="-7"/>
        </w:rPr>
        <w:t xml:space="preserve"> </w:t>
      </w:r>
      <w:r w:rsidRPr="00685CCC">
        <w:t>fortsätta</w:t>
      </w:r>
      <w:r w:rsidRPr="00685CCC">
        <w:rPr>
          <w:spacing w:val="-8"/>
        </w:rPr>
        <w:t xml:space="preserve"> </w:t>
      </w:r>
      <w:r w:rsidRPr="00685CCC">
        <w:t>sin</w:t>
      </w:r>
      <w:r w:rsidRPr="00685CCC">
        <w:rPr>
          <w:spacing w:val="-7"/>
        </w:rPr>
        <w:t xml:space="preserve"> </w:t>
      </w:r>
      <w:r w:rsidRPr="00685CCC">
        <w:t>verksamhet,</w:t>
      </w:r>
      <w:r w:rsidRPr="00685CCC">
        <w:rPr>
          <w:spacing w:val="-9"/>
        </w:rPr>
        <w:t xml:space="preserve"> </w:t>
      </w:r>
      <w:r w:rsidRPr="00685CCC">
        <w:t>från</w:t>
      </w:r>
      <w:r w:rsidRPr="00685CCC">
        <w:rPr>
          <w:spacing w:val="-7"/>
        </w:rPr>
        <w:t xml:space="preserve"> </w:t>
      </w:r>
      <w:r w:rsidRPr="00685CCC">
        <w:t>att</w:t>
      </w:r>
      <w:r w:rsidRPr="00685CCC">
        <w:rPr>
          <w:spacing w:val="-7"/>
        </w:rPr>
        <w:t xml:space="preserve"> </w:t>
      </w:r>
      <w:r w:rsidRPr="00685CCC">
        <w:t>fullgöra</w:t>
      </w:r>
      <w:r w:rsidRPr="00685CCC">
        <w:rPr>
          <w:spacing w:val="-8"/>
        </w:rPr>
        <w:t xml:space="preserve"> </w:t>
      </w:r>
      <w:r w:rsidRPr="00685CCC">
        <w:t>sina</w:t>
      </w:r>
      <w:r w:rsidRPr="00685CCC">
        <w:rPr>
          <w:spacing w:val="-8"/>
        </w:rPr>
        <w:t xml:space="preserve"> </w:t>
      </w:r>
      <w:r w:rsidRPr="00685CCC">
        <w:t>förpliktelser</w:t>
      </w:r>
      <w:r w:rsidRPr="00685CCC">
        <w:rPr>
          <w:spacing w:val="-8"/>
        </w:rPr>
        <w:t xml:space="preserve"> </w:t>
      </w:r>
      <w:r w:rsidRPr="00685CCC">
        <w:t>på</w:t>
      </w:r>
      <w:r w:rsidRPr="00685CCC">
        <w:rPr>
          <w:spacing w:val="-8"/>
        </w:rPr>
        <w:t xml:space="preserve"> </w:t>
      </w:r>
      <w:r w:rsidRPr="00685CCC">
        <w:t>kort</w:t>
      </w:r>
      <w:r w:rsidRPr="00685CCC">
        <w:rPr>
          <w:spacing w:val="-7"/>
        </w:rPr>
        <w:t xml:space="preserve"> </w:t>
      </w:r>
      <w:r w:rsidRPr="00685CCC">
        <w:t>och</w:t>
      </w:r>
      <w:r w:rsidRPr="00685CCC">
        <w:rPr>
          <w:spacing w:val="-7"/>
        </w:rPr>
        <w:t xml:space="preserve"> </w:t>
      </w:r>
      <w:r w:rsidRPr="00685CCC">
        <w:t>lång sikt eller från att fullgöra erforderliga investeringar. I detta innefattas även beredskap för att klara variationer</w:t>
      </w:r>
      <w:r w:rsidRPr="00685CCC">
        <w:rPr>
          <w:spacing w:val="-6"/>
        </w:rPr>
        <w:t xml:space="preserve"> </w:t>
      </w:r>
      <w:r w:rsidRPr="00685CCC">
        <w:t>i</w:t>
      </w:r>
      <w:r w:rsidRPr="00685CCC">
        <w:rPr>
          <w:spacing w:val="-5"/>
        </w:rPr>
        <w:t xml:space="preserve"> </w:t>
      </w:r>
      <w:r w:rsidRPr="00685CCC">
        <w:t>de</w:t>
      </w:r>
      <w:r w:rsidRPr="00685CCC">
        <w:rPr>
          <w:spacing w:val="-5"/>
        </w:rPr>
        <w:t xml:space="preserve"> </w:t>
      </w:r>
      <w:r w:rsidRPr="00685CCC">
        <w:t>löpande</w:t>
      </w:r>
      <w:r w:rsidRPr="00685CCC">
        <w:rPr>
          <w:spacing w:val="-5"/>
        </w:rPr>
        <w:t xml:space="preserve"> </w:t>
      </w:r>
      <w:r w:rsidRPr="00685CCC">
        <w:t>betalningsförpliktelserna.</w:t>
      </w:r>
      <w:r w:rsidRPr="00685CCC">
        <w:rPr>
          <w:spacing w:val="-7"/>
        </w:rPr>
        <w:t xml:space="preserve"> </w:t>
      </w:r>
      <w:r w:rsidRPr="00685CCC">
        <w:t>Styrelsens</w:t>
      </w:r>
      <w:r w:rsidRPr="00685CCC">
        <w:rPr>
          <w:spacing w:val="-6"/>
        </w:rPr>
        <w:t xml:space="preserve"> </w:t>
      </w:r>
      <w:r w:rsidRPr="00685CCC">
        <w:t>bedömning</w:t>
      </w:r>
      <w:r w:rsidRPr="00685CCC">
        <w:rPr>
          <w:spacing w:val="-5"/>
        </w:rPr>
        <w:t xml:space="preserve"> </w:t>
      </w:r>
      <w:r w:rsidRPr="00685CCC">
        <w:t>är</w:t>
      </w:r>
      <w:r w:rsidRPr="00685CCC">
        <w:rPr>
          <w:spacing w:val="-6"/>
        </w:rPr>
        <w:t xml:space="preserve"> </w:t>
      </w:r>
      <w:r w:rsidRPr="00685CCC">
        <w:t>således</w:t>
      </w:r>
      <w:r w:rsidRPr="00685CCC">
        <w:rPr>
          <w:spacing w:val="-6"/>
        </w:rPr>
        <w:t xml:space="preserve"> </w:t>
      </w:r>
      <w:r w:rsidRPr="00685CCC">
        <w:t>att storleken</w:t>
      </w:r>
      <w:r w:rsidRPr="00685CCC">
        <w:rPr>
          <w:spacing w:val="-5"/>
        </w:rPr>
        <w:t xml:space="preserve"> </w:t>
      </w:r>
      <w:r w:rsidRPr="00685CCC">
        <w:t>på det egna kapitalet, såsom det redovisats i den senast avgivna bokslutskommunikén, står i rimlig proportion till omfattningen på Bolagets verksamhet och de risker som är förenade med verksamhetens bedrivande med beaktande av den nu föreslagna utdelningen.</w:t>
      </w:r>
    </w:p>
    <w:p w14:paraId="33FF1053" w14:textId="77777777" w:rsidR="00BB39B9" w:rsidRPr="00157163" w:rsidRDefault="00BB39B9">
      <w:pPr>
        <w:pStyle w:val="BodyText"/>
        <w:spacing w:before="8"/>
        <w:rPr>
          <w:sz w:val="23"/>
        </w:rPr>
      </w:pPr>
    </w:p>
    <w:p w14:paraId="5B220BFA" w14:textId="77777777" w:rsidR="00BB39B9" w:rsidRPr="00157163" w:rsidRDefault="00157163">
      <w:pPr>
        <w:pStyle w:val="BodyText"/>
        <w:spacing w:line="312" w:lineRule="auto"/>
        <w:ind w:left="115" w:right="192" w:hanging="10"/>
        <w:jc w:val="both"/>
      </w:pPr>
      <w:r w:rsidRPr="00157163">
        <w:t>Med</w:t>
      </w:r>
      <w:r w:rsidRPr="00157163">
        <w:rPr>
          <w:spacing w:val="-3"/>
        </w:rPr>
        <w:t xml:space="preserve"> </w:t>
      </w:r>
      <w:r w:rsidRPr="00157163">
        <w:t>hänvisning</w:t>
      </w:r>
      <w:r w:rsidRPr="00157163">
        <w:rPr>
          <w:spacing w:val="-5"/>
        </w:rPr>
        <w:t xml:space="preserve"> </w:t>
      </w:r>
      <w:r w:rsidRPr="00157163">
        <w:t>till</w:t>
      </w:r>
      <w:r w:rsidRPr="00157163">
        <w:rPr>
          <w:spacing w:val="-5"/>
        </w:rPr>
        <w:t xml:space="preserve"> </w:t>
      </w:r>
      <w:r w:rsidRPr="00157163">
        <w:t>ovanstående</w:t>
      </w:r>
      <w:r w:rsidRPr="00157163">
        <w:rPr>
          <w:spacing w:val="-5"/>
        </w:rPr>
        <w:t xml:space="preserve"> </w:t>
      </w:r>
      <w:r w:rsidRPr="00157163">
        <w:t>och</w:t>
      </w:r>
      <w:r w:rsidRPr="00157163">
        <w:rPr>
          <w:spacing w:val="-5"/>
        </w:rPr>
        <w:t xml:space="preserve"> </w:t>
      </w:r>
      <w:r w:rsidRPr="00157163">
        <w:t>vad</w:t>
      </w:r>
      <w:r w:rsidRPr="00157163">
        <w:rPr>
          <w:spacing w:val="-2"/>
        </w:rPr>
        <w:t xml:space="preserve"> </w:t>
      </w:r>
      <w:r w:rsidRPr="00157163">
        <w:t>som</w:t>
      </w:r>
      <w:r w:rsidRPr="00157163">
        <w:rPr>
          <w:spacing w:val="-3"/>
        </w:rPr>
        <w:t xml:space="preserve"> </w:t>
      </w:r>
      <w:r w:rsidRPr="00157163">
        <w:t>i</w:t>
      </w:r>
      <w:r w:rsidRPr="00157163">
        <w:rPr>
          <w:spacing w:val="-5"/>
        </w:rPr>
        <w:t xml:space="preserve"> </w:t>
      </w:r>
      <w:r w:rsidRPr="00157163">
        <w:t>övrigt</w:t>
      </w:r>
      <w:r w:rsidRPr="00157163">
        <w:rPr>
          <w:spacing w:val="-5"/>
        </w:rPr>
        <w:t xml:space="preserve"> </w:t>
      </w:r>
      <w:r w:rsidRPr="00157163">
        <w:t>kommit</w:t>
      </w:r>
      <w:r w:rsidRPr="00157163">
        <w:rPr>
          <w:spacing w:val="-5"/>
        </w:rPr>
        <w:t xml:space="preserve"> </w:t>
      </w:r>
      <w:r w:rsidRPr="00157163">
        <w:t>till</w:t>
      </w:r>
      <w:r w:rsidRPr="00157163">
        <w:rPr>
          <w:spacing w:val="-2"/>
        </w:rPr>
        <w:t xml:space="preserve"> </w:t>
      </w:r>
      <w:r w:rsidRPr="00157163">
        <w:t>styrelsens</w:t>
      </w:r>
      <w:r w:rsidRPr="00157163">
        <w:rPr>
          <w:spacing w:val="-3"/>
        </w:rPr>
        <w:t xml:space="preserve"> </w:t>
      </w:r>
      <w:r w:rsidRPr="00157163">
        <w:t>kännedom</w:t>
      </w:r>
      <w:r w:rsidRPr="00157163">
        <w:rPr>
          <w:spacing w:val="-3"/>
        </w:rPr>
        <w:t xml:space="preserve"> </w:t>
      </w:r>
      <w:r w:rsidRPr="00157163">
        <w:t>är</w:t>
      </w:r>
      <w:r w:rsidRPr="00157163">
        <w:rPr>
          <w:spacing w:val="-4"/>
        </w:rPr>
        <w:t xml:space="preserve"> </w:t>
      </w:r>
      <w:r w:rsidRPr="00157163">
        <w:t>styrelsens uppfattning att en allsidig bedömning av moderbolagets och koncernens ekonomiska ställning medför</w:t>
      </w:r>
      <w:r w:rsidRPr="00157163">
        <w:rPr>
          <w:spacing w:val="-7"/>
        </w:rPr>
        <w:t xml:space="preserve"> </w:t>
      </w:r>
      <w:r w:rsidRPr="00157163">
        <w:t>att</w:t>
      </w:r>
      <w:r w:rsidRPr="00157163">
        <w:rPr>
          <w:spacing w:val="-6"/>
        </w:rPr>
        <w:t xml:space="preserve"> </w:t>
      </w:r>
      <w:r w:rsidRPr="00157163">
        <w:t>utdelningen</w:t>
      </w:r>
      <w:r w:rsidRPr="00157163">
        <w:rPr>
          <w:spacing w:val="-6"/>
        </w:rPr>
        <w:t xml:space="preserve"> </w:t>
      </w:r>
      <w:r w:rsidRPr="00157163">
        <w:t>är</w:t>
      </w:r>
      <w:r w:rsidRPr="00157163">
        <w:rPr>
          <w:spacing w:val="-5"/>
        </w:rPr>
        <w:t xml:space="preserve"> </w:t>
      </w:r>
      <w:r w:rsidRPr="00157163">
        <w:t>försvarlig</w:t>
      </w:r>
      <w:r w:rsidRPr="00157163">
        <w:rPr>
          <w:spacing w:val="-7"/>
        </w:rPr>
        <w:t xml:space="preserve"> </w:t>
      </w:r>
      <w:r w:rsidRPr="00157163">
        <w:t>med</w:t>
      </w:r>
      <w:r w:rsidRPr="00157163">
        <w:rPr>
          <w:spacing w:val="-7"/>
        </w:rPr>
        <w:t xml:space="preserve"> </w:t>
      </w:r>
      <w:r w:rsidRPr="00157163">
        <w:t>hänvisning</w:t>
      </w:r>
      <w:r w:rsidRPr="00157163">
        <w:rPr>
          <w:spacing w:val="-7"/>
        </w:rPr>
        <w:t xml:space="preserve"> </w:t>
      </w:r>
      <w:r w:rsidRPr="00157163">
        <w:t>till</w:t>
      </w:r>
      <w:r w:rsidRPr="00157163">
        <w:rPr>
          <w:spacing w:val="-6"/>
        </w:rPr>
        <w:t xml:space="preserve"> </w:t>
      </w:r>
      <w:r w:rsidRPr="00157163">
        <w:t>de</w:t>
      </w:r>
      <w:r w:rsidRPr="00157163">
        <w:rPr>
          <w:spacing w:val="-7"/>
        </w:rPr>
        <w:t xml:space="preserve"> </w:t>
      </w:r>
      <w:r w:rsidRPr="00157163">
        <w:t>krav</w:t>
      </w:r>
      <w:r w:rsidRPr="00157163">
        <w:rPr>
          <w:spacing w:val="-6"/>
        </w:rPr>
        <w:t xml:space="preserve"> </w:t>
      </w:r>
      <w:r w:rsidRPr="00157163">
        <w:t>som</w:t>
      </w:r>
      <w:r w:rsidRPr="00157163">
        <w:rPr>
          <w:spacing w:val="-5"/>
        </w:rPr>
        <w:t xml:space="preserve"> </w:t>
      </w:r>
      <w:r w:rsidRPr="00157163">
        <w:t>verksamhetens</w:t>
      </w:r>
      <w:r w:rsidRPr="00157163">
        <w:rPr>
          <w:spacing w:val="-7"/>
        </w:rPr>
        <w:t xml:space="preserve"> </w:t>
      </w:r>
      <w:r w:rsidRPr="00157163">
        <w:t>art,</w:t>
      </w:r>
      <w:r w:rsidRPr="00157163">
        <w:rPr>
          <w:spacing w:val="-8"/>
        </w:rPr>
        <w:t xml:space="preserve"> </w:t>
      </w:r>
      <w:r w:rsidRPr="00157163">
        <w:t>omfattning och risker ställer på storleken av Bolagets och koncernens egna kapital samt Bolagets och koncernens konsolideringsbehov, likviditet och ställning i övrigt. Den föreslagna utdelningen kan därmed försvaras med hänsyn till vad som anförs i aktiebolagslagen 17 kap. 3 § andra och tredje styckena (försiktighetsregeln).</w:t>
      </w:r>
    </w:p>
    <w:p w14:paraId="44326F21" w14:textId="77777777" w:rsidR="00BB39B9" w:rsidRPr="00A41096" w:rsidRDefault="00BB39B9">
      <w:pPr>
        <w:pStyle w:val="BodyText"/>
        <w:rPr>
          <w:sz w:val="22"/>
          <w:highlight w:val="yellow"/>
        </w:rPr>
      </w:pPr>
    </w:p>
    <w:p w14:paraId="5DDE21BF" w14:textId="77777777" w:rsidR="00BB39B9" w:rsidRPr="00A41096" w:rsidRDefault="00BB39B9">
      <w:pPr>
        <w:pStyle w:val="BodyText"/>
        <w:spacing w:before="11"/>
        <w:rPr>
          <w:sz w:val="24"/>
          <w:highlight w:val="yellow"/>
        </w:rPr>
      </w:pPr>
    </w:p>
    <w:p w14:paraId="2DC197A5" w14:textId="7F872F82" w:rsidR="00BB39B9" w:rsidRPr="00711DF1" w:rsidRDefault="00157163">
      <w:pPr>
        <w:pStyle w:val="BodyText"/>
        <w:spacing w:line="506" w:lineRule="auto"/>
        <w:ind w:left="3877" w:right="3953"/>
        <w:jc w:val="center"/>
        <w:rPr>
          <w:lang w:val="da-DK"/>
        </w:rPr>
      </w:pPr>
      <w:r w:rsidRPr="00711DF1">
        <w:rPr>
          <w:lang w:val="da-DK"/>
        </w:rPr>
        <w:t>Den</w:t>
      </w:r>
      <w:r w:rsidRPr="00711DF1">
        <w:rPr>
          <w:spacing w:val="-10"/>
          <w:lang w:val="da-DK"/>
        </w:rPr>
        <w:t xml:space="preserve"> </w:t>
      </w:r>
      <w:r w:rsidR="00737538" w:rsidRPr="00711DF1">
        <w:rPr>
          <w:lang w:val="da-DK"/>
        </w:rPr>
        <w:t>19 juli</w:t>
      </w:r>
      <w:r w:rsidRPr="00711DF1">
        <w:rPr>
          <w:spacing w:val="-10"/>
          <w:lang w:val="da-DK"/>
        </w:rPr>
        <w:t xml:space="preserve"> </w:t>
      </w:r>
      <w:r w:rsidRPr="00711DF1">
        <w:rPr>
          <w:lang w:val="da-DK"/>
        </w:rPr>
        <w:t>202</w:t>
      </w:r>
      <w:r w:rsidR="00C22AF1" w:rsidRPr="00711DF1">
        <w:rPr>
          <w:lang w:val="da-DK"/>
        </w:rPr>
        <w:t>4</w:t>
      </w:r>
      <w:r w:rsidRPr="00711DF1">
        <w:rPr>
          <w:lang w:val="da-DK"/>
        </w:rPr>
        <w:t xml:space="preserve"> Clas Ohlson AB </w:t>
      </w:r>
      <w:r w:rsidRPr="00711DF1">
        <w:rPr>
          <w:spacing w:val="-2"/>
          <w:lang w:val="da-DK"/>
        </w:rPr>
        <w:t>Styrelsen</w:t>
      </w:r>
    </w:p>
    <w:sectPr w:rsidR="00BB39B9" w:rsidRPr="00711DF1">
      <w:pgSz w:w="11910" w:h="16840"/>
      <w:pgMar w:top="78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C588" w14:textId="77777777" w:rsidR="00810505" w:rsidRDefault="00810505" w:rsidP="00810505">
      <w:r>
        <w:separator/>
      </w:r>
    </w:p>
  </w:endnote>
  <w:endnote w:type="continuationSeparator" w:id="0">
    <w:p w14:paraId="5585C8D4" w14:textId="77777777" w:rsidR="00810505" w:rsidRDefault="00810505" w:rsidP="0081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B3EC0" w14:textId="77777777" w:rsidR="00810505" w:rsidRDefault="00810505" w:rsidP="00810505">
      <w:r>
        <w:separator/>
      </w:r>
    </w:p>
  </w:footnote>
  <w:footnote w:type="continuationSeparator" w:id="0">
    <w:p w14:paraId="0347D199" w14:textId="77777777" w:rsidR="00810505" w:rsidRDefault="00810505" w:rsidP="0081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BB39B9"/>
    <w:rsid w:val="000227D2"/>
    <w:rsid w:val="00033130"/>
    <w:rsid w:val="00034C35"/>
    <w:rsid w:val="0004378F"/>
    <w:rsid w:val="00060B7D"/>
    <w:rsid w:val="00092710"/>
    <w:rsid w:val="000D5F96"/>
    <w:rsid w:val="000F50BA"/>
    <w:rsid w:val="001133D4"/>
    <w:rsid w:val="00157163"/>
    <w:rsid w:val="00177B03"/>
    <w:rsid w:val="001A1384"/>
    <w:rsid w:val="001A34B3"/>
    <w:rsid w:val="002645C5"/>
    <w:rsid w:val="00337E1B"/>
    <w:rsid w:val="003566C8"/>
    <w:rsid w:val="004116BB"/>
    <w:rsid w:val="004127D8"/>
    <w:rsid w:val="00417828"/>
    <w:rsid w:val="004256CA"/>
    <w:rsid w:val="00464F10"/>
    <w:rsid w:val="00476701"/>
    <w:rsid w:val="00484CDF"/>
    <w:rsid w:val="004C38C5"/>
    <w:rsid w:val="004D1D1D"/>
    <w:rsid w:val="00517640"/>
    <w:rsid w:val="00527A74"/>
    <w:rsid w:val="00532CB0"/>
    <w:rsid w:val="00572829"/>
    <w:rsid w:val="00593666"/>
    <w:rsid w:val="005F580C"/>
    <w:rsid w:val="006004F3"/>
    <w:rsid w:val="00614992"/>
    <w:rsid w:val="006552C6"/>
    <w:rsid w:val="006836D0"/>
    <w:rsid w:val="00685CCC"/>
    <w:rsid w:val="006B1242"/>
    <w:rsid w:val="006E1036"/>
    <w:rsid w:val="006F75E3"/>
    <w:rsid w:val="00711DF1"/>
    <w:rsid w:val="00737538"/>
    <w:rsid w:val="00744E42"/>
    <w:rsid w:val="00750E96"/>
    <w:rsid w:val="00780E71"/>
    <w:rsid w:val="00787A9D"/>
    <w:rsid w:val="007D1258"/>
    <w:rsid w:val="007E7917"/>
    <w:rsid w:val="007F40F6"/>
    <w:rsid w:val="00810505"/>
    <w:rsid w:val="009008A7"/>
    <w:rsid w:val="00913D61"/>
    <w:rsid w:val="00983977"/>
    <w:rsid w:val="009839FD"/>
    <w:rsid w:val="00990BEA"/>
    <w:rsid w:val="009D26EE"/>
    <w:rsid w:val="009F0260"/>
    <w:rsid w:val="00A14E89"/>
    <w:rsid w:val="00A41096"/>
    <w:rsid w:val="00A535D6"/>
    <w:rsid w:val="00A93B5F"/>
    <w:rsid w:val="00AA1FDC"/>
    <w:rsid w:val="00AA273E"/>
    <w:rsid w:val="00B13A5B"/>
    <w:rsid w:val="00B3477E"/>
    <w:rsid w:val="00B81B6C"/>
    <w:rsid w:val="00BA1CB3"/>
    <w:rsid w:val="00BB39B9"/>
    <w:rsid w:val="00BC3E32"/>
    <w:rsid w:val="00BC606D"/>
    <w:rsid w:val="00BE2233"/>
    <w:rsid w:val="00BF07CF"/>
    <w:rsid w:val="00C22AF1"/>
    <w:rsid w:val="00CA3016"/>
    <w:rsid w:val="00D0330D"/>
    <w:rsid w:val="00E1644F"/>
    <w:rsid w:val="00EE4222"/>
    <w:rsid w:val="00FA795D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DFABA3"/>
  <w15:docId w15:val="{8758F0B2-F11C-4D5F-A639-5F2E15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paragraph" w:styleId="Heading1">
    <w:name w:val="heading 1"/>
    <w:basedOn w:val="Normal"/>
    <w:uiPriority w:val="9"/>
    <w:qFormat/>
    <w:pPr>
      <w:spacing w:before="81"/>
      <w:ind w:left="10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3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CB0"/>
    <w:rPr>
      <w:rFonts w:ascii="Verdana" w:eastAsia="Verdana" w:hAnsi="Verdana" w:cs="Verdana"/>
      <w:sz w:val="20"/>
      <w:szCs w:val="20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B0"/>
    <w:rPr>
      <w:rFonts w:ascii="Verdana" w:eastAsia="Verdana" w:hAnsi="Verdana" w:cs="Verdana"/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B0"/>
    <w:rPr>
      <w:rFonts w:ascii="Segoe UI" w:eastAsia="Verdana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10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505"/>
    <w:rPr>
      <w:rFonts w:ascii="Verdana" w:eastAsia="Verdana" w:hAnsi="Verdana" w:cs="Verdana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810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505"/>
    <w:rPr>
      <w:rFonts w:ascii="Verdana" w:eastAsia="Verdana" w:hAnsi="Verdana" w:cs="Verdana"/>
      <w:lang w:val="sv-SE"/>
    </w:rPr>
  </w:style>
  <w:style w:type="paragraph" w:styleId="Revision">
    <w:name w:val="Revision"/>
    <w:hidden/>
    <w:uiPriority w:val="99"/>
    <w:semiHidden/>
    <w:rsid w:val="00BA1CB3"/>
    <w:pPr>
      <w:widowControl/>
      <w:autoSpaceDE/>
      <w:autoSpaceDN/>
    </w:pPr>
    <w:rPr>
      <w:rFonts w:ascii="Verdana" w:eastAsia="Verdana" w:hAnsi="Verdana" w:cs="Verdan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A626-881B-4578-A8BF-BD121462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wordxpDoc</vt:lpstr>
      <vt:lpstr>wordxpDoc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wordxpDoc</dc:title>
  <dc:creator>Tom Andersson</dc:creator>
  <cp:lastModifiedBy>Tina Englyst</cp:lastModifiedBy>
  <cp:revision>4</cp:revision>
  <dcterms:created xsi:type="dcterms:W3CDTF">2024-07-11T18:03:00Z</dcterms:created>
  <dcterms:modified xsi:type="dcterms:W3CDTF">2024-07-11T19:49:00Z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  <property fmtid="{D5CDD505-2E9C-101B-9397-08002B2CF9AE}" pid="5" name="MSIP_Label_5362ce0e-a12f-446d-81a2-bfab7bc0e988_Enabled">
    <vt:lpwstr>true</vt:lpwstr>
  </property>
  <property fmtid="{D5CDD505-2E9C-101B-9397-08002B2CF9AE}" pid="6" name="MSIP_Label_5362ce0e-a12f-446d-81a2-bfab7bc0e988_SetDate">
    <vt:lpwstr>2024-07-11T18:03:39Z</vt:lpwstr>
  </property>
  <property fmtid="{D5CDD505-2E9C-101B-9397-08002B2CF9AE}" pid="7" name="MSIP_Label_5362ce0e-a12f-446d-81a2-bfab7bc0e988_Method">
    <vt:lpwstr>Standard</vt:lpwstr>
  </property>
  <property fmtid="{D5CDD505-2E9C-101B-9397-08002B2CF9AE}" pid="8" name="MSIP_Label_5362ce0e-a12f-446d-81a2-bfab7bc0e988_Name">
    <vt:lpwstr>Business files and emails</vt:lpwstr>
  </property>
  <property fmtid="{D5CDD505-2E9C-101B-9397-08002B2CF9AE}" pid="9" name="MSIP_Label_5362ce0e-a12f-446d-81a2-bfab7bc0e988_SiteId">
    <vt:lpwstr>080917a7-8e76-4eca-9b40-d8771092fc58</vt:lpwstr>
  </property>
  <property fmtid="{D5CDD505-2E9C-101B-9397-08002B2CF9AE}" pid="10" name="MSIP_Label_5362ce0e-a12f-446d-81a2-bfab7bc0e988_ActionId">
    <vt:lpwstr>105f1104-4a3c-4593-98a6-2917afc089a1</vt:lpwstr>
  </property>
  <property fmtid="{D5CDD505-2E9C-101B-9397-08002B2CF9AE}" pid="11" name="MSIP_Label_5362ce0e-a12f-446d-81a2-bfab7bc0e988_ContentBits">
    <vt:lpwstr>0</vt:lpwstr>
  </property>
</Properties>
</file>