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1F8DA" w14:textId="522BD1C6" w:rsidR="00AD14BB" w:rsidRPr="00E5701A" w:rsidRDefault="00ED6714" w:rsidP="00065E40">
      <w:pPr>
        <w:pStyle w:val="Title"/>
        <w:ind w:left="0"/>
        <w:rPr>
          <w:lang w:val="en-GB"/>
        </w:rPr>
      </w:pPr>
      <w:r w:rsidRPr="00E5701A">
        <w:rPr>
          <w:lang w:val="en-GB"/>
        </w:rPr>
        <w:t>Remuneration report Clas Ohlson AB (publ), pertaining to 2023/2024 financial year (1 May 2023 – 30 April 2024)</w:t>
      </w:r>
    </w:p>
    <w:p w14:paraId="6834A5E0" w14:textId="77777777" w:rsidR="00AD14BB" w:rsidRPr="00E5701A" w:rsidRDefault="00AD14BB" w:rsidP="00065E40">
      <w:pPr>
        <w:pStyle w:val="BodyText"/>
        <w:rPr>
          <w:b/>
          <w:sz w:val="22"/>
          <w:lang w:val="en-GB"/>
        </w:rPr>
      </w:pPr>
    </w:p>
    <w:p w14:paraId="2A422CE9" w14:textId="77777777" w:rsidR="00AD14BB" w:rsidRPr="00E5701A" w:rsidRDefault="00ED6714" w:rsidP="00065E40">
      <w:pPr>
        <w:pStyle w:val="BodyText"/>
        <w:rPr>
          <w:b/>
          <w:bCs/>
          <w:lang w:val="en-GB"/>
        </w:rPr>
      </w:pPr>
      <w:r w:rsidRPr="00E5701A">
        <w:rPr>
          <w:b/>
          <w:bCs/>
          <w:u w:val="single"/>
          <w:lang w:val="en-GB"/>
        </w:rPr>
        <w:t>Introduction</w:t>
      </w:r>
    </w:p>
    <w:p w14:paraId="47C1B698" w14:textId="77777777" w:rsidR="00AD14BB" w:rsidRPr="00E5701A" w:rsidRDefault="00AD14BB" w:rsidP="00065E40">
      <w:pPr>
        <w:pStyle w:val="BodyText"/>
        <w:spacing w:before="3"/>
        <w:rPr>
          <w:sz w:val="15"/>
          <w:lang w:val="en-GB"/>
        </w:rPr>
      </w:pPr>
    </w:p>
    <w:p w14:paraId="73C6E93E" w14:textId="17988F86" w:rsidR="00AD14BB" w:rsidRPr="00E5701A" w:rsidRDefault="00ED6714" w:rsidP="00065E40">
      <w:pPr>
        <w:tabs>
          <w:tab w:val="left" w:pos="1640"/>
          <w:tab w:val="left" w:pos="1641"/>
        </w:tabs>
        <w:spacing w:line="243" w:lineRule="exact"/>
        <w:rPr>
          <w:sz w:val="20"/>
          <w:szCs w:val="20"/>
          <w:lang w:val="en-GB"/>
        </w:rPr>
      </w:pPr>
      <w:r w:rsidRPr="00E5701A">
        <w:rPr>
          <w:sz w:val="20"/>
          <w:szCs w:val="20"/>
          <w:lang w:val="en-GB"/>
        </w:rPr>
        <w:t>This report describes how the guidelines for remuneration of senior management of Clas Ohlson AB, adopted by the Annual General Meeting (AGM) held in September 2020, were implemented in the 2023/2024 financial year. The report also provides information about remuneration of the President and CEO Kristofer Tonström as well as a summary of the company’s outstanding share-based and share price-based incentive programmes.</w:t>
      </w:r>
    </w:p>
    <w:p w14:paraId="30EEF7D2" w14:textId="77777777" w:rsidR="00AD14BB" w:rsidRPr="00E5701A" w:rsidRDefault="00AD14BB" w:rsidP="00065E40">
      <w:pPr>
        <w:pStyle w:val="BodyText"/>
        <w:spacing w:before="2"/>
        <w:rPr>
          <w:lang w:val="en-GB"/>
        </w:rPr>
      </w:pPr>
    </w:p>
    <w:p w14:paraId="0EB8E500" w14:textId="19FAE30C" w:rsidR="00AD14BB" w:rsidRPr="00E5701A" w:rsidRDefault="00ED6714" w:rsidP="00065E40">
      <w:pPr>
        <w:pStyle w:val="BodyText"/>
        <w:ind w:right="722"/>
        <w:rPr>
          <w:lang w:val="en-GB"/>
        </w:rPr>
      </w:pPr>
      <w:r w:rsidRPr="00E5701A">
        <w:rPr>
          <w:lang w:val="en-GB"/>
        </w:rPr>
        <w:t>The report has been prepared in accordance with the Swedish Companies Act as well as the Stock Market Self-Regulation Committee’s “Rules on Remuneration of the Board and Executive Management and on Incentive Programmes”.</w:t>
      </w:r>
    </w:p>
    <w:p w14:paraId="6635F183" w14:textId="77777777" w:rsidR="00AD14BB" w:rsidRPr="00E5701A" w:rsidRDefault="00AD14BB" w:rsidP="00065E40">
      <w:pPr>
        <w:pStyle w:val="BodyText"/>
        <w:spacing w:before="1"/>
        <w:rPr>
          <w:sz w:val="23"/>
          <w:lang w:val="en-GB"/>
        </w:rPr>
      </w:pPr>
    </w:p>
    <w:p w14:paraId="3E7F177D" w14:textId="45ABE005" w:rsidR="00AD14BB" w:rsidRPr="00E5701A" w:rsidRDefault="00ED6714" w:rsidP="00065E40">
      <w:pPr>
        <w:pStyle w:val="BodyText"/>
        <w:spacing w:before="1"/>
        <w:ind w:right="722"/>
        <w:rPr>
          <w:lang w:val="en-GB"/>
        </w:rPr>
      </w:pPr>
      <w:r w:rsidRPr="00E5701A">
        <w:rPr>
          <w:lang w:val="en-GB"/>
        </w:rPr>
        <w:t>Further information on remuneration of senior management is available in Note 6 (Expenses for employee benefits) on pages 52-54 in the 2023/2024 Annual Report. Information on the work of the People Committee (Remuneration Committee) in 2023/2024 is set out in the corporate governance report available on pages 27-3</w:t>
      </w:r>
      <w:r w:rsidR="00BB5053">
        <w:rPr>
          <w:lang w:val="en-GB"/>
        </w:rPr>
        <w:t>1</w:t>
      </w:r>
      <w:r w:rsidRPr="00E5701A">
        <w:rPr>
          <w:lang w:val="en-GB"/>
        </w:rPr>
        <w:t xml:space="preserve"> in the 2023/2024 Annual Report.</w:t>
      </w:r>
    </w:p>
    <w:p w14:paraId="2CB4FBA4" w14:textId="77777777" w:rsidR="00AD14BB" w:rsidRPr="00E5701A" w:rsidRDefault="00AD14BB" w:rsidP="00065E40">
      <w:pPr>
        <w:pStyle w:val="BodyText"/>
        <w:spacing w:before="9"/>
        <w:rPr>
          <w:sz w:val="22"/>
          <w:lang w:val="en-GB"/>
        </w:rPr>
      </w:pPr>
    </w:p>
    <w:p w14:paraId="36268544" w14:textId="29B28FA4" w:rsidR="00AD14BB" w:rsidRPr="00E5701A" w:rsidRDefault="00ED6714" w:rsidP="00065E40">
      <w:pPr>
        <w:pStyle w:val="BodyText"/>
        <w:ind w:right="600"/>
        <w:rPr>
          <w:lang w:val="en-GB"/>
        </w:rPr>
      </w:pPr>
      <w:r w:rsidRPr="00E5701A">
        <w:rPr>
          <w:lang w:val="en-GB"/>
        </w:rPr>
        <w:t>Director fees are not covered by this report. Such remuneration is resolved annually by the Annual General Meeting and disclosed in Note 6 on page 52 in the 2023/2024 Annual Report.</w:t>
      </w:r>
    </w:p>
    <w:p w14:paraId="7ED34E80" w14:textId="77777777" w:rsidR="00AD14BB" w:rsidRPr="00E5701A" w:rsidRDefault="00AD14BB" w:rsidP="00065E40">
      <w:pPr>
        <w:pStyle w:val="BodyText"/>
        <w:rPr>
          <w:lang w:val="en-GB"/>
        </w:rPr>
      </w:pPr>
    </w:p>
    <w:p w14:paraId="0B778BAD" w14:textId="77777777" w:rsidR="00AD14BB" w:rsidRPr="00E5701A" w:rsidRDefault="00AD14BB" w:rsidP="00065E40">
      <w:pPr>
        <w:pStyle w:val="BodyText"/>
        <w:spacing w:before="2"/>
        <w:rPr>
          <w:sz w:val="23"/>
          <w:lang w:val="en-GB"/>
        </w:rPr>
      </w:pPr>
    </w:p>
    <w:p w14:paraId="0436130A" w14:textId="392D4632" w:rsidR="00AD14BB" w:rsidRPr="00E5701A" w:rsidRDefault="00ED6714" w:rsidP="00065E40">
      <w:pPr>
        <w:pStyle w:val="Heading1"/>
        <w:ind w:left="0"/>
        <w:rPr>
          <w:u w:val="none"/>
          <w:lang w:val="en-GB"/>
        </w:rPr>
      </w:pPr>
      <w:r w:rsidRPr="00E5701A">
        <w:rPr>
          <w:lang w:val="en-GB"/>
        </w:rPr>
        <w:t>Key developments in 2023/2024</w:t>
      </w:r>
    </w:p>
    <w:p w14:paraId="29851A09" w14:textId="77777777" w:rsidR="00AD14BB" w:rsidRPr="00E5701A" w:rsidRDefault="00AD14BB" w:rsidP="00065E40">
      <w:pPr>
        <w:pStyle w:val="BodyText"/>
        <w:spacing w:before="7"/>
        <w:rPr>
          <w:b/>
          <w:lang w:val="en-GB"/>
        </w:rPr>
      </w:pPr>
    </w:p>
    <w:p w14:paraId="724495F8" w14:textId="43086FD3" w:rsidR="00AD14BB" w:rsidRPr="00E5701A" w:rsidRDefault="00ED6714" w:rsidP="00065E40">
      <w:pPr>
        <w:pStyle w:val="BodyText"/>
        <w:spacing w:before="60"/>
        <w:ind w:right="1360"/>
        <w:rPr>
          <w:lang w:val="en-GB"/>
        </w:rPr>
      </w:pPr>
      <w:r w:rsidRPr="00E5701A">
        <w:rPr>
          <w:lang w:val="en-GB"/>
        </w:rPr>
        <w:t>The CEO summarises the company’s overall performance in his statement on page 4 in the 2023/2024 Annual Report.</w:t>
      </w:r>
    </w:p>
    <w:p w14:paraId="4C3A4EF8" w14:textId="77777777" w:rsidR="00AD14BB" w:rsidRPr="00E5701A" w:rsidRDefault="00AD14BB" w:rsidP="00065E40">
      <w:pPr>
        <w:pStyle w:val="BodyText"/>
        <w:rPr>
          <w:lang w:val="en-GB"/>
        </w:rPr>
      </w:pPr>
    </w:p>
    <w:p w14:paraId="73F44DF1" w14:textId="77777777" w:rsidR="00AD14BB" w:rsidRPr="00E5701A" w:rsidRDefault="00AD14BB" w:rsidP="00065E40">
      <w:pPr>
        <w:pStyle w:val="BodyText"/>
        <w:spacing w:before="7"/>
        <w:rPr>
          <w:lang w:val="en-GB"/>
        </w:rPr>
      </w:pPr>
    </w:p>
    <w:p w14:paraId="7E5F0C2F" w14:textId="77777777" w:rsidR="00AD14BB" w:rsidRPr="00E5701A" w:rsidRDefault="00ED6714" w:rsidP="00065E40">
      <w:pPr>
        <w:pStyle w:val="Heading1"/>
        <w:ind w:left="0"/>
        <w:rPr>
          <w:u w:val="none"/>
          <w:lang w:val="en-GB"/>
        </w:rPr>
      </w:pPr>
      <w:r w:rsidRPr="00E5701A">
        <w:rPr>
          <w:lang w:val="en-GB"/>
        </w:rPr>
        <w:t xml:space="preserve">The company’s remuneration guidelines: scope, </w:t>
      </w:r>
      <w:proofErr w:type="gramStart"/>
      <w:r w:rsidRPr="00E5701A">
        <w:rPr>
          <w:lang w:val="en-GB"/>
        </w:rPr>
        <w:t>purpose</w:t>
      </w:r>
      <w:proofErr w:type="gramEnd"/>
      <w:r w:rsidRPr="00E5701A">
        <w:rPr>
          <w:lang w:val="en-GB"/>
        </w:rPr>
        <w:t xml:space="preserve"> and deviations</w:t>
      </w:r>
    </w:p>
    <w:p w14:paraId="1F636E2C" w14:textId="77777777" w:rsidR="00AD14BB" w:rsidRPr="00E5701A" w:rsidRDefault="00AD14BB" w:rsidP="00065E40">
      <w:pPr>
        <w:pStyle w:val="BodyText"/>
        <w:spacing w:before="3"/>
        <w:rPr>
          <w:b/>
          <w:sz w:val="15"/>
          <w:lang w:val="en-GB"/>
        </w:rPr>
      </w:pPr>
    </w:p>
    <w:p w14:paraId="448654A4" w14:textId="4BD04E6C" w:rsidR="00AD14BB" w:rsidRPr="00E5701A" w:rsidRDefault="00ED6714" w:rsidP="00065E40">
      <w:pPr>
        <w:pStyle w:val="BodyText"/>
        <w:spacing w:before="59"/>
        <w:ind w:right="722"/>
        <w:rPr>
          <w:lang w:val="en-GB"/>
        </w:rPr>
      </w:pPr>
      <w:r w:rsidRPr="00E5701A">
        <w:rPr>
          <w:noProof/>
          <w:lang w:val="en-GB"/>
        </w:rPr>
        <mc:AlternateContent>
          <mc:Choice Requires="wps">
            <w:drawing>
              <wp:anchor distT="0" distB="0" distL="114300" distR="114300" simplePos="0" relativeHeight="487221248" behindDoc="1" locked="0" layoutInCell="1" allowOverlap="1" wp14:anchorId="2B219478" wp14:editId="413C4C75">
                <wp:simplePos x="0" y="0"/>
                <wp:positionH relativeFrom="page">
                  <wp:posOffset>4643120</wp:posOffset>
                </wp:positionH>
                <wp:positionV relativeFrom="paragraph">
                  <wp:posOffset>165735</wp:posOffset>
                </wp:positionV>
                <wp:extent cx="29210" cy="2159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0" cy="21590"/>
                        </a:xfrm>
                        <a:custGeom>
                          <a:avLst/>
                          <a:gdLst>
                            <a:gd name="T0" fmla="+- 0 7357 7312"/>
                            <a:gd name="T1" fmla="*/ T0 w 46"/>
                            <a:gd name="T2" fmla="+- 0 288 261"/>
                            <a:gd name="T3" fmla="*/ 288 h 34"/>
                            <a:gd name="T4" fmla="+- 0 7312 7312"/>
                            <a:gd name="T5" fmla="*/ T4 w 46"/>
                            <a:gd name="T6" fmla="+- 0 288 261"/>
                            <a:gd name="T7" fmla="*/ 288 h 34"/>
                            <a:gd name="T8" fmla="+- 0 7312 7312"/>
                            <a:gd name="T9" fmla="*/ T8 w 46"/>
                            <a:gd name="T10" fmla="+- 0 295 261"/>
                            <a:gd name="T11" fmla="*/ 295 h 34"/>
                            <a:gd name="T12" fmla="+- 0 7357 7312"/>
                            <a:gd name="T13" fmla="*/ T12 w 46"/>
                            <a:gd name="T14" fmla="+- 0 295 261"/>
                            <a:gd name="T15" fmla="*/ 295 h 34"/>
                            <a:gd name="T16" fmla="+- 0 7357 7312"/>
                            <a:gd name="T17" fmla="*/ T16 w 46"/>
                            <a:gd name="T18" fmla="+- 0 288 261"/>
                            <a:gd name="T19" fmla="*/ 288 h 34"/>
                            <a:gd name="T20" fmla="+- 0 7357 7312"/>
                            <a:gd name="T21" fmla="*/ T20 w 46"/>
                            <a:gd name="T22" fmla="+- 0 261 261"/>
                            <a:gd name="T23" fmla="*/ 261 h 34"/>
                            <a:gd name="T24" fmla="+- 0 7312 7312"/>
                            <a:gd name="T25" fmla="*/ T24 w 46"/>
                            <a:gd name="T26" fmla="+- 0 261 261"/>
                            <a:gd name="T27" fmla="*/ 261 h 34"/>
                            <a:gd name="T28" fmla="+- 0 7312 7312"/>
                            <a:gd name="T29" fmla="*/ T28 w 46"/>
                            <a:gd name="T30" fmla="+- 0 269 261"/>
                            <a:gd name="T31" fmla="*/ 269 h 34"/>
                            <a:gd name="T32" fmla="+- 0 7357 7312"/>
                            <a:gd name="T33" fmla="*/ T32 w 46"/>
                            <a:gd name="T34" fmla="+- 0 269 261"/>
                            <a:gd name="T35" fmla="*/ 269 h 34"/>
                            <a:gd name="T36" fmla="+- 0 7357 7312"/>
                            <a:gd name="T37" fmla="*/ T36 w 46"/>
                            <a:gd name="T38" fmla="+- 0 261 261"/>
                            <a:gd name="T39" fmla="*/ 261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6" h="34">
                              <a:moveTo>
                                <a:pt x="45" y="27"/>
                              </a:moveTo>
                              <a:lnTo>
                                <a:pt x="0" y="27"/>
                              </a:lnTo>
                              <a:lnTo>
                                <a:pt x="0" y="34"/>
                              </a:lnTo>
                              <a:lnTo>
                                <a:pt x="45" y="34"/>
                              </a:lnTo>
                              <a:lnTo>
                                <a:pt x="45" y="27"/>
                              </a:lnTo>
                              <a:close/>
                              <a:moveTo>
                                <a:pt x="45" y="0"/>
                              </a:moveTo>
                              <a:lnTo>
                                <a:pt x="0" y="0"/>
                              </a:lnTo>
                              <a:lnTo>
                                <a:pt x="0" y="8"/>
                              </a:lnTo>
                              <a:lnTo>
                                <a:pt x="45" y="8"/>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466F7" id="docshape1" o:spid="_x0000_s1026" style="position:absolute;margin-left:365.6pt;margin-top:13.05pt;width:2.3pt;height:1.7pt;z-index:-1609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" path="m45,27l,27r,7l45,34r,-7xm45,l,,,8r45,l45,xe" fillcolor="black" stroked="f">
                <v:path arrowok="t" o:connecttype="custom" o:connectlocs="28575,182880;0,182880;0,187325;28575,187325;28575,182880;28575,165735;0,165735;0,170815;28575,170815;28575,165735" o:connectangles="0,0,0,0,0,0,0,0,0,0"/>
                <w10:wrap anchorx="page"/>
              </v:shape>
            </w:pict>
          </mc:Fallback>
        </mc:AlternateContent>
      </w:r>
      <w:r w:rsidRPr="00E5701A">
        <w:rPr>
          <w:lang w:val="en-GB"/>
        </w:rPr>
        <w:t xml:space="preserve">These guidelines encompass the President and CEO and Clas Ohlson AB’s Group Management. The overall objective of the company’s guidelines for remuneration of senior management is to support Clas Ohlson’s business strategy, the company’s financial targets and safeguarding the company’s long-term interests, including its sustainability. Clas Ohlson intends to offer remuneration levels that will attract, </w:t>
      </w:r>
      <w:proofErr w:type="gramStart"/>
      <w:r w:rsidRPr="00E5701A">
        <w:rPr>
          <w:lang w:val="en-GB"/>
        </w:rPr>
        <w:t>retain</w:t>
      </w:r>
      <w:proofErr w:type="gramEnd"/>
      <w:r w:rsidRPr="00E5701A">
        <w:rPr>
          <w:lang w:val="en-GB"/>
        </w:rPr>
        <w:t xml:space="preserve"> and motivate key individuals whose roles are important to achieve the company’s overall objectives. These guidelines enable the company to offer senior management a competitive total remuneration.</w:t>
      </w:r>
    </w:p>
    <w:p w14:paraId="7069FC6E" w14:textId="77777777" w:rsidR="00AD14BB" w:rsidRPr="00E5701A" w:rsidRDefault="00AD14BB" w:rsidP="00065E40">
      <w:pPr>
        <w:pStyle w:val="BodyText"/>
        <w:rPr>
          <w:sz w:val="23"/>
          <w:lang w:val="en-GB"/>
        </w:rPr>
      </w:pPr>
    </w:p>
    <w:p w14:paraId="2D05F489" w14:textId="50EDB656" w:rsidR="00AD14BB" w:rsidRPr="00E5701A" w:rsidRDefault="00ED6714" w:rsidP="00065E40">
      <w:pPr>
        <w:pStyle w:val="BodyText"/>
        <w:ind w:right="283"/>
        <w:rPr>
          <w:lang w:val="en-GB"/>
        </w:rPr>
      </w:pPr>
      <w:r w:rsidRPr="00E5701A">
        <w:rPr>
          <w:lang w:val="en-GB"/>
        </w:rPr>
        <w:t>Total remuneration is to be based on position and be attractive and competitive in the country of employment. The company believes that a balanced remuneration structure will provide senior management with the incentive to focus on creating long-term shareholder value, while the company will have the opportunity to offer cash incentives for the achievement of short-term performance objectives that contribute to the company’s business strategy and the company’s long-term interests. The total remuneration is to be market-based and may consist of: fixed annual basic salary, annual variable performance-based cash remuneration based on annual performance targets, pension and health benefits and other benefits that are common in the country of employment.</w:t>
      </w:r>
    </w:p>
    <w:p w14:paraId="7587660A" w14:textId="66628DAF" w:rsidR="004F49AC" w:rsidRPr="00E5701A" w:rsidRDefault="004F49AC" w:rsidP="00065E40">
      <w:pPr>
        <w:pStyle w:val="BodyText"/>
        <w:ind w:right="722"/>
        <w:rPr>
          <w:lang w:val="en-GB"/>
        </w:rPr>
      </w:pPr>
    </w:p>
    <w:p w14:paraId="4AF9DF26" w14:textId="72231E9B" w:rsidR="004F49AC" w:rsidRPr="00E5701A" w:rsidRDefault="004F49AC" w:rsidP="00065E40">
      <w:pPr>
        <w:pStyle w:val="BodyText"/>
        <w:ind w:right="722"/>
        <w:rPr>
          <w:lang w:val="en-GB"/>
        </w:rPr>
      </w:pPr>
      <w:r w:rsidRPr="00E5701A">
        <w:rPr>
          <w:lang w:val="en-GB"/>
        </w:rPr>
        <w:t>The guidelines are found on page 30</w:t>
      </w:r>
      <w:r w:rsidR="00BB5053">
        <w:rPr>
          <w:lang w:val="en-GB"/>
        </w:rPr>
        <w:t xml:space="preserve"> </w:t>
      </w:r>
      <w:r w:rsidRPr="00E5701A">
        <w:rPr>
          <w:lang w:val="en-GB"/>
        </w:rPr>
        <w:t xml:space="preserve">in the 2023/2024 Annual Report. Under the guidelines, the Board may temporarily resolve to derogate from the guidelines, in whole or in part, if in a specific case there is special cause for the derogation and a derogation is necessary to serve the company’s long-term interests, including its sustainability, or to ensure the company’s financial viability. No deviations from the guidelines have been decided in the 2023/2024 financial year and no derogations from the procedure for implementation of the guidelines have been made. The auditor’s report regarding the company’s compliance with the guidelines is available on </w:t>
      </w:r>
      <w:hyperlink r:id="rId7" w:history="1">
        <w:r w:rsidRPr="00E5701A">
          <w:rPr>
            <w:rStyle w:val="Hyperlink"/>
            <w:u w:val="none"/>
            <w:lang w:val="en-GB"/>
          </w:rPr>
          <w:t>https://about.clasohlson.com/en/corporate-governance/</w:t>
        </w:r>
      </w:hyperlink>
      <w:r w:rsidRPr="00E5701A">
        <w:rPr>
          <w:lang w:val="en-GB"/>
        </w:rPr>
        <w:t>. No remuneration has been reclaimed. In addition to remuneration covered by the remuneration guidelines, the AGM of the company have resolved to implement long-term share-based incentive plans.</w:t>
      </w:r>
    </w:p>
    <w:p w14:paraId="1479C484" w14:textId="77777777" w:rsidR="00AD14BB" w:rsidRPr="00E5701A" w:rsidRDefault="00AD14BB" w:rsidP="00065E40">
      <w:pPr>
        <w:pStyle w:val="BodyText"/>
        <w:spacing w:before="9"/>
        <w:rPr>
          <w:sz w:val="25"/>
          <w:lang w:val="en-GB"/>
        </w:rPr>
      </w:pPr>
    </w:p>
    <w:p w14:paraId="1E74B9C5" w14:textId="25C181D6" w:rsidR="00AD14BB" w:rsidRPr="00E5701A" w:rsidRDefault="00ED6714" w:rsidP="00065E40">
      <w:pPr>
        <w:pStyle w:val="Heading1"/>
        <w:keepNext/>
        <w:keepLines/>
        <w:spacing w:before="59"/>
        <w:ind w:left="0"/>
        <w:rPr>
          <w:u w:val="none"/>
          <w:lang w:val="en-GB"/>
        </w:rPr>
      </w:pPr>
      <w:r w:rsidRPr="00E5701A">
        <w:rPr>
          <w:u w:val="none"/>
          <w:lang w:val="en-GB"/>
        </w:rPr>
        <w:t>Table 1 – Total CEO remuneration in 2023/2024 (kSEK)</w:t>
      </w:r>
      <w:r w:rsidRPr="00E5701A">
        <w:rPr>
          <w:b w:val="0"/>
          <w:bCs w:val="0"/>
          <w:u w:val="none"/>
          <w:lang w:val="en-GB"/>
        </w:rPr>
        <w:br/>
      </w:r>
    </w:p>
    <w:tbl>
      <w:tblPr>
        <w:tblW w:w="0" w:type="auto"/>
        <w:tblInd w:w="-10" w:type="dxa"/>
        <w:tblLayout w:type="fixed"/>
        <w:tblCellMar>
          <w:left w:w="0" w:type="dxa"/>
          <w:right w:w="0" w:type="dxa"/>
        </w:tblCellMar>
        <w:tblLook w:val="01E0" w:firstRow="1" w:lastRow="1" w:firstColumn="1" w:lastColumn="1" w:noHBand="0" w:noVBand="0"/>
      </w:tblPr>
      <w:tblGrid>
        <w:gridCol w:w="708"/>
        <w:gridCol w:w="709"/>
        <w:gridCol w:w="851"/>
        <w:gridCol w:w="850"/>
        <w:gridCol w:w="851"/>
        <w:gridCol w:w="992"/>
        <w:gridCol w:w="850"/>
        <w:gridCol w:w="851"/>
        <w:gridCol w:w="850"/>
        <w:gridCol w:w="1134"/>
      </w:tblGrid>
      <w:tr w:rsidR="00FD473C" w:rsidRPr="00E5701A" w14:paraId="2FDFD6CB" w14:textId="77777777" w:rsidTr="00065E40">
        <w:trPr>
          <w:trHeight w:val="299"/>
        </w:trPr>
        <w:tc>
          <w:tcPr>
            <w:tcW w:w="708" w:type="dxa"/>
            <w:tcBorders>
              <w:top w:val="single" w:sz="8" w:space="0" w:color="000000"/>
              <w:left w:val="single" w:sz="8" w:space="0" w:color="000000"/>
              <w:right w:val="single" w:sz="8" w:space="0" w:color="auto"/>
            </w:tcBorders>
            <w:vAlign w:val="center"/>
          </w:tcPr>
          <w:p w14:paraId="5FFD9527" w14:textId="7B299186" w:rsidR="00A80E2C" w:rsidRPr="00E5701A" w:rsidRDefault="00A80E2C" w:rsidP="00065E40">
            <w:pPr>
              <w:pStyle w:val="TableParagraph"/>
              <w:keepNext/>
              <w:keepLines/>
              <w:spacing w:line="151" w:lineRule="exact"/>
              <w:jc w:val="center"/>
              <w:rPr>
                <w:b/>
                <w:sz w:val="14"/>
                <w:lang w:val="en-GB"/>
              </w:rPr>
            </w:pPr>
          </w:p>
        </w:tc>
        <w:tc>
          <w:tcPr>
            <w:tcW w:w="709" w:type="dxa"/>
            <w:tcBorders>
              <w:top w:val="single" w:sz="8" w:space="0" w:color="000000"/>
              <w:left w:val="single" w:sz="8" w:space="0" w:color="auto"/>
              <w:right w:val="single" w:sz="8" w:space="0" w:color="auto"/>
            </w:tcBorders>
            <w:vAlign w:val="center"/>
          </w:tcPr>
          <w:p w14:paraId="77A3C24B" w14:textId="5F2CF409" w:rsidR="00A80E2C" w:rsidRPr="00E5701A" w:rsidRDefault="00A80E2C" w:rsidP="00065E40">
            <w:pPr>
              <w:pStyle w:val="TableParagraph"/>
              <w:keepNext/>
              <w:keepLines/>
              <w:spacing w:line="151" w:lineRule="exact"/>
              <w:jc w:val="center"/>
              <w:rPr>
                <w:b/>
                <w:sz w:val="14"/>
                <w:lang w:val="en-GB"/>
              </w:rPr>
            </w:pPr>
          </w:p>
        </w:tc>
        <w:tc>
          <w:tcPr>
            <w:tcW w:w="1701" w:type="dxa"/>
            <w:gridSpan w:val="2"/>
            <w:tcBorders>
              <w:top w:val="single" w:sz="8" w:space="0" w:color="000000"/>
              <w:left w:val="single" w:sz="8" w:space="0" w:color="auto"/>
              <w:bottom w:val="single" w:sz="8" w:space="0" w:color="auto"/>
              <w:right w:val="single" w:sz="8" w:space="0" w:color="auto"/>
            </w:tcBorders>
            <w:vAlign w:val="center"/>
          </w:tcPr>
          <w:p w14:paraId="2DBC720F" w14:textId="2EDA2C4D" w:rsidR="00A80E2C" w:rsidRPr="00E5701A" w:rsidRDefault="00A80E2C" w:rsidP="00065E40">
            <w:pPr>
              <w:pStyle w:val="TableParagraph"/>
              <w:keepNext/>
              <w:keepLines/>
              <w:jc w:val="center"/>
              <w:rPr>
                <w:rFonts w:ascii="Times New Roman"/>
                <w:sz w:val="18"/>
                <w:lang w:val="en-GB"/>
              </w:rPr>
            </w:pPr>
            <w:r w:rsidRPr="00E5701A">
              <w:rPr>
                <w:b/>
                <w:bCs/>
                <w:sz w:val="14"/>
                <w:lang w:val="en-GB"/>
              </w:rPr>
              <w:t>Fixed remuneration</w:t>
            </w:r>
          </w:p>
        </w:tc>
        <w:tc>
          <w:tcPr>
            <w:tcW w:w="1843" w:type="dxa"/>
            <w:gridSpan w:val="2"/>
            <w:tcBorders>
              <w:top w:val="single" w:sz="8" w:space="0" w:color="000000"/>
              <w:left w:val="single" w:sz="8" w:space="0" w:color="auto"/>
              <w:bottom w:val="single" w:sz="8" w:space="0" w:color="auto"/>
              <w:right w:val="single" w:sz="8" w:space="0" w:color="auto"/>
            </w:tcBorders>
            <w:vAlign w:val="center"/>
          </w:tcPr>
          <w:p w14:paraId="5BB32818" w14:textId="4E999199" w:rsidR="00A80E2C" w:rsidRPr="00E5701A" w:rsidRDefault="00A80E2C" w:rsidP="00065E40">
            <w:pPr>
              <w:pStyle w:val="TableParagraph"/>
              <w:keepNext/>
              <w:keepLines/>
              <w:jc w:val="center"/>
              <w:rPr>
                <w:rFonts w:ascii="Times New Roman"/>
                <w:sz w:val="18"/>
                <w:lang w:val="en-GB"/>
              </w:rPr>
            </w:pPr>
            <w:r w:rsidRPr="00E5701A">
              <w:rPr>
                <w:b/>
                <w:bCs/>
                <w:sz w:val="14"/>
                <w:lang w:val="en-GB"/>
              </w:rPr>
              <w:t>Variable remuneration</w:t>
            </w:r>
          </w:p>
        </w:tc>
        <w:tc>
          <w:tcPr>
            <w:tcW w:w="850" w:type="dxa"/>
            <w:tcBorders>
              <w:top w:val="single" w:sz="8" w:space="0" w:color="000000"/>
              <w:left w:val="single" w:sz="8" w:space="0" w:color="auto"/>
              <w:right w:val="single" w:sz="8" w:space="0" w:color="auto"/>
            </w:tcBorders>
            <w:vAlign w:val="center"/>
          </w:tcPr>
          <w:p w14:paraId="0315F6BE" w14:textId="77777777" w:rsidR="00A80E2C" w:rsidRPr="00E5701A" w:rsidRDefault="00A80E2C" w:rsidP="00065E40">
            <w:pPr>
              <w:pStyle w:val="TableParagraph"/>
              <w:keepNext/>
              <w:keepLines/>
              <w:jc w:val="center"/>
              <w:rPr>
                <w:rFonts w:ascii="Times New Roman"/>
                <w:sz w:val="18"/>
                <w:lang w:val="en-GB"/>
              </w:rPr>
            </w:pPr>
          </w:p>
        </w:tc>
        <w:tc>
          <w:tcPr>
            <w:tcW w:w="851" w:type="dxa"/>
            <w:tcBorders>
              <w:top w:val="single" w:sz="8" w:space="0" w:color="000000"/>
              <w:left w:val="single" w:sz="8" w:space="0" w:color="auto"/>
              <w:right w:val="single" w:sz="8" w:space="0" w:color="auto"/>
            </w:tcBorders>
            <w:vAlign w:val="center"/>
          </w:tcPr>
          <w:p w14:paraId="7CA77837" w14:textId="77777777" w:rsidR="00A80E2C" w:rsidRPr="00E5701A" w:rsidRDefault="00A80E2C" w:rsidP="00065E40">
            <w:pPr>
              <w:pStyle w:val="TableParagraph"/>
              <w:keepNext/>
              <w:keepLines/>
              <w:jc w:val="center"/>
              <w:rPr>
                <w:rFonts w:ascii="Times New Roman"/>
                <w:sz w:val="18"/>
                <w:lang w:val="en-GB"/>
              </w:rPr>
            </w:pPr>
          </w:p>
        </w:tc>
        <w:tc>
          <w:tcPr>
            <w:tcW w:w="850" w:type="dxa"/>
            <w:tcBorders>
              <w:top w:val="single" w:sz="8" w:space="0" w:color="000000"/>
              <w:left w:val="single" w:sz="8" w:space="0" w:color="auto"/>
              <w:right w:val="single" w:sz="8" w:space="0" w:color="auto"/>
            </w:tcBorders>
            <w:vAlign w:val="center"/>
          </w:tcPr>
          <w:p w14:paraId="3FBBC1BB" w14:textId="77777777" w:rsidR="00A80E2C" w:rsidRPr="00E5701A" w:rsidRDefault="00A80E2C" w:rsidP="00065E40">
            <w:pPr>
              <w:pStyle w:val="TableParagraph"/>
              <w:keepNext/>
              <w:keepLines/>
              <w:jc w:val="center"/>
              <w:rPr>
                <w:rFonts w:ascii="Times New Roman"/>
                <w:sz w:val="18"/>
                <w:lang w:val="en-GB"/>
              </w:rPr>
            </w:pPr>
          </w:p>
        </w:tc>
        <w:tc>
          <w:tcPr>
            <w:tcW w:w="1134" w:type="dxa"/>
            <w:tcBorders>
              <w:top w:val="single" w:sz="8" w:space="0" w:color="000000"/>
              <w:left w:val="single" w:sz="8" w:space="0" w:color="auto"/>
              <w:right w:val="single" w:sz="8" w:space="0" w:color="000000"/>
            </w:tcBorders>
            <w:vAlign w:val="center"/>
          </w:tcPr>
          <w:p w14:paraId="2103F522" w14:textId="77777777" w:rsidR="00A80E2C" w:rsidRPr="00E5701A" w:rsidRDefault="00A80E2C" w:rsidP="00065E40">
            <w:pPr>
              <w:pStyle w:val="TableParagraph"/>
              <w:keepNext/>
              <w:keepLines/>
              <w:jc w:val="center"/>
              <w:rPr>
                <w:rFonts w:ascii="Times New Roman"/>
                <w:sz w:val="18"/>
                <w:lang w:val="en-GB"/>
              </w:rPr>
            </w:pPr>
          </w:p>
        </w:tc>
      </w:tr>
      <w:tr w:rsidR="00FD473C" w:rsidRPr="00E5701A" w14:paraId="66528B0C" w14:textId="77777777" w:rsidTr="00065E40">
        <w:trPr>
          <w:trHeight w:val="781"/>
        </w:trPr>
        <w:tc>
          <w:tcPr>
            <w:tcW w:w="708" w:type="dxa"/>
            <w:tcBorders>
              <w:left w:val="single" w:sz="8" w:space="0" w:color="000000"/>
              <w:bottom w:val="single" w:sz="8" w:space="0" w:color="auto"/>
              <w:right w:val="single" w:sz="8" w:space="0" w:color="auto"/>
            </w:tcBorders>
            <w:vAlign w:val="center"/>
          </w:tcPr>
          <w:p w14:paraId="3940017D" w14:textId="04C0AB55" w:rsidR="00AD14BB" w:rsidRPr="00E5701A" w:rsidRDefault="00FD473C" w:rsidP="00065E40">
            <w:pPr>
              <w:pStyle w:val="TableParagraph"/>
              <w:jc w:val="center"/>
              <w:rPr>
                <w:rFonts w:ascii="Times New Roman"/>
                <w:sz w:val="18"/>
                <w:lang w:val="en-GB"/>
              </w:rPr>
            </w:pPr>
            <w:r w:rsidRPr="00E5701A">
              <w:rPr>
                <w:b/>
                <w:bCs/>
                <w:sz w:val="14"/>
                <w:lang w:val="en-GB"/>
              </w:rPr>
              <w:t>Name</w:t>
            </w:r>
          </w:p>
        </w:tc>
        <w:tc>
          <w:tcPr>
            <w:tcW w:w="709" w:type="dxa"/>
            <w:tcBorders>
              <w:left w:val="single" w:sz="8" w:space="0" w:color="auto"/>
              <w:bottom w:val="single" w:sz="8" w:space="0" w:color="auto"/>
              <w:right w:val="single" w:sz="8" w:space="0" w:color="auto"/>
            </w:tcBorders>
            <w:vAlign w:val="center"/>
          </w:tcPr>
          <w:p w14:paraId="6785E6C8" w14:textId="5A9AF30E" w:rsidR="00AD14BB" w:rsidRPr="00E5701A" w:rsidRDefault="00FD473C" w:rsidP="00065E40">
            <w:pPr>
              <w:pStyle w:val="TableParagraph"/>
              <w:jc w:val="center"/>
              <w:rPr>
                <w:rFonts w:ascii="Times New Roman"/>
                <w:sz w:val="18"/>
                <w:lang w:val="en-GB"/>
              </w:rPr>
            </w:pPr>
            <w:r w:rsidRPr="00E5701A">
              <w:rPr>
                <w:b/>
                <w:bCs/>
                <w:sz w:val="14"/>
                <w:lang w:val="en-GB"/>
              </w:rPr>
              <w:t>Period</w:t>
            </w:r>
          </w:p>
        </w:tc>
        <w:tc>
          <w:tcPr>
            <w:tcW w:w="851" w:type="dxa"/>
            <w:tcBorders>
              <w:top w:val="single" w:sz="8" w:space="0" w:color="auto"/>
              <w:left w:val="single" w:sz="8" w:space="0" w:color="auto"/>
              <w:bottom w:val="single" w:sz="8" w:space="0" w:color="auto"/>
              <w:right w:val="single" w:sz="8" w:space="0" w:color="auto"/>
            </w:tcBorders>
            <w:vAlign w:val="center"/>
          </w:tcPr>
          <w:p w14:paraId="7B061D7D" w14:textId="77777777" w:rsidR="00AD14BB" w:rsidRPr="00E5701A" w:rsidRDefault="00ED6714" w:rsidP="00065E40">
            <w:pPr>
              <w:pStyle w:val="TableParagraph"/>
              <w:spacing w:line="154" w:lineRule="exact"/>
              <w:jc w:val="center"/>
              <w:rPr>
                <w:b/>
                <w:sz w:val="14"/>
                <w:lang w:val="en-GB"/>
              </w:rPr>
            </w:pPr>
            <w:r w:rsidRPr="00E5701A">
              <w:rPr>
                <w:b/>
                <w:bCs/>
                <w:sz w:val="14"/>
                <w:lang w:val="en-GB"/>
              </w:rPr>
              <w:t>Basic salary*</w:t>
            </w:r>
          </w:p>
        </w:tc>
        <w:tc>
          <w:tcPr>
            <w:tcW w:w="850" w:type="dxa"/>
            <w:tcBorders>
              <w:top w:val="single" w:sz="8" w:space="0" w:color="auto"/>
              <w:left w:val="single" w:sz="8" w:space="0" w:color="auto"/>
              <w:bottom w:val="single" w:sz="8" w:space="0" w:color="auto"/>
              <w:right w:val="single" w:sz="8" w:space="0" w:color="auto"/>
            </w:tcBorders>
            <w:vAlign w:val="center"/>
          </w:tcPr>
          <w:p w14:paraId="3153534B" w14:textId="2EE3B82F" w:rsidR="00AD14BB" w:rsidRPr="00E5701A" w:rsidRDefault="00ED6714" w:rsidP="00065E40">
            <w:pPr>
              <w:pStyle w:val="TableParagraph"/>
              <w:spacing w:line="170" w:lineRule="exact"/>
              <w:jc w:val="center"/>
              <w:rPr>
                <w:b/>
                <w:sz w:val="14"/>
                <w:lang w:val="en-GB"/>
              </w:rPr>
            </w:pPr>
            <w:r w:rsidRPr="00E5701A">
              <w:rPr>
                <w:b/>
                <w:bCs/>
                <w:sz w:val="14"/>
                <w:lang w:val="en-GB"/>
              </w:rPr>
              <w:t>Other benefits**</w:t>
            </w:r>
          </w:p>
        </w:tc>
        <w:tc>
          <w:tcPr>
            <w:tcW w:w="851" w:type="dxa"/>
            <w:tcBorders>
              <w:top w:val="single" w:sz="8" w:space="0" w:color="auto"/>
              <w:left w:val="single" w:sz="8" w:space="0" w:color="auto"/>
              <w:bottom w:val="single" w:sz="8" w:space="0" w:color="auto"/>
              <w:right w:val="single" w:sz="8" w:space="0" w:color="auto"/>
            </w:tcBorders>
            <w:vAlign w:val="center"/>
          </w:tcPr>
          <w:p w14:paraId="26770C85" w14:textId="77777777" w:rsidR="00AD14BB" w:rsidRPr="00E5701A" w:rsidRDefault="00ED6714" w:rsidP="00065E40">
            <w:pPr>
              <w:pStyle w:val="TableParagraph"/>
              <w:spacing w:line="170" w:lineRule="exact"/>
              <w:jc w:val="center"/>
              <w:rPr>
                <w:b/>
                <w:sz w:val="14"/>
                <w:lang w:val="en-GB"/>
              </w:rPr>
            </w:pPr>
            <w:r w:rsidRPr="00E5701A">
              <w:rPr>
                <w:b/>
                <w:bCs/>
                <w:sz w:val="14"/>
                <w:lang w:val="en-GB"/>
              </w:rPr>
              <w:t>One-year variable remuneration***</w:t>
            </w:r>
          </w:p>
        </w:tc>
        <w:tc>
          <w:tcPr>
            <w:tcW w:w="992" w:type="dxa"/>
            <w:tcBorders>
              <w:top w:val="single" w:sz="8" w:space="0" w:color="auto"/>
              <w:left w:val="single" w:sz="8" w:space="0" w:color="auto"/>
              <w:bottom w:val="single" w:sz="8" w:space="0" w:color="auto"/>
              <w:right w:val="single" w:sz="8" w:space="0" w:color="auto"/>
            </w:tcBorders>
            <w:vAlign w:val="center"/>
          </w:tcPr>
          <w:p w14:paraId="0B08AF18" w14:textId="77777777" w:rsidR="00AD14BB" w:rsidRPr="00E5701A" w:rsidRDefault="00ED6714" w:rsidP="00065E40">
            <w:pPr>
              <w:pStyle w:val="TableParagraph"/>
              <w:spacing w:line="170" w:lineRule="exact"/>
              <w:jc w:val="center"/>
              <w:rPr>
                <w:b/>
                <w:sz w:val="14"/>
                <w:lang w:val="en-GB"/>
              </w:rPr>
            </w:pPr>
            <w:r w:rsidRPr="00E5701A">
              <w:rPr>
                <w:b/>
                <w:bCs/>
                <w:sz w:val="14"/>
                <w:lang w:val="en-GB"/>
              </w:rPr>
              <w:t>Multi-year variable remuneration****</w:t>
            </w:r>
          </w:p>
        </w:tc>
        <w:tc>
          <w:tcPr>
            <w:tcW w:w="850" w:type="dxa"/>
            <w:tcBorders>
              <w:left w:val="single" w:sz="8" w:space="0" w:color="auto"/>
              <w:bottom w:val="single" w:sz="8" w:space="0" w:color="auto"/>
              <w:right w:val="single" w:sz="8" w:space="0" w:color="auto"/>
            </w:tcBorders>
            <w:vAlign w:val="center"/>
          </w:tcPr>
          <w:p w14:paraId="5F529239" w14:textId="77777777" w:rsidR="00AD14BB" w:rsidRPr="00E5701A" w:rsidRDefault="00ED6714" w:rsidP="00065E40">
            <w:pPr>
              <w:pStyle w:val="TableParagraph"/>
              <w:spacing w:line="170" w:lineRule="exact"/>
              <w:jc w:val="center"/>
              <w:rPr>
                <w:b/>
                <w:sz w:val="14"/>
                <w:lang w:val="en-GB"/>
              </w:rPr>
            </w:pPr>
            <w:r w:rsidRPr="00E5701A">
              <w:rPr>
                <w:b/>
                <w:bCs/>
                <w:sz w:val="14"/>
                <w:lang w:val="en-GB"/>
              </w:rPr>
              <w:t>Extraordinary items</w:t>
            </w:r>
          </w:p>
        </w:tc>
        <w:tc>
          <w:tcPr>
            <w:tcW w:w="851" w:type="dxa"/>
            <w:tcBorders>
              <w:left w:val="single" w:sz="8" w:space="0" w:color="auto"/>
              <w:bottom w:val="single" w:sz="8" w:space="0" w:color="auto"/>
              <w:right w:val="single" w:sz="8" w:space="0" w:color="auto"/>
            </w:tcBorders>
            <w:vAlign w:val="center"/>
          </w:tcPr>
          <w:p w14:paraId="46870287" w14:textId="77777777" w:rsidR="00AD14BB" w:rsidRPr="00E5701A" w:rsidRDefault="00ED6714" w:rsidP="00065E40">
            <w:pPr>
              <w:pStyle w:val="TableParagraph"/>
              <w:spacing w:line="154" w:lineRule="exact"/>
              <w:ind w:right="144"/>
              <w:jc w:val="center"/>
              <w:rPr>
                <w:b/>
                <w:sz w:val="14"/>
                <w:lang w:val="en-GB"/>
              </w:rPr>
            </w:pPr>
            <w:r w:rsidRPr="00E5701A">
              <w:rPr>
                <w:b/>
                <w:bCs/>
                <w:sz w:val="14"/>
                <w:lang w:val="en-GB"/>
              </w:rPr>
              <w:t>Pension expense</w:t>
            </w:r>
          </w:p>
        </w:tc>
        <w:tc>
          <w:tcPr>
            <w:tcW w:w="850" w:type="dxa"/>
            <w:tcBorders>
              <w:left w:val="single" w:sz="8" w:space="0" w:color="auto"/>
              <w:bottom w:val="single" w:sz="8" w:space="0" w:color="auto"/>
              <w:right w:val="single" w:sz="8" w:space="0" w:color="auto"/>
            </w:tcBorders>
            <w:vAlign w:val="center"/>
          </w:tcPr>
          <w:p w14:paraId="6E64723A" w14:textId="0641D2A7" w:rsidR="00AD14BB" w:rsidRPr="00E5701A" w:rsidRDefault="00ED6714" w:rsidP="00065E40">
            <w:pPr>
              <w:pStyle w:val="TableParagraph"/>
              <w:spacing w:line="170" w:lineRule="exact"/>
              <w:jc w:val="center"/>
              <w:rPr>
                <w:b/>
                <w:sz w:val="14"/>
                <w:lang w:val="en-GB"/>
              </w:rPr>
            </w:pPr>
            <w:r w:rsidRPr="00E5701A">
              <w:rPr>
                <w:b/>
                <w:bCs/>
                <w:sz w:val="14"/>
                <w:lang w:val="en-GB"/>
              </w:rPr>
              <w:t>Total remuneration</w:t>
            </w:r>
          </w:p>
        </w:tc>
        <w:tc>
          <w:tcPr>
            <w:tcW w:w="1134" w:type="dxa"/>
            <w:tcBorders>
              <w:left w:val="single" w:sz="8" w:space="0" w:color="auto"/>
              <w:bottom w:val="single" w:sz="8" w:space="0" w:color="auto"/>
              <w:right w:val="single" w:sz="8" w:space="0" w:color="000000"/>
            </w:tcBorders>
            <w:vAlign w:val="center"/>
          </w:tcPr>
          <w:p w14:paraId="1E7F0505" w14:textId="77777777" w:rsidR="00AD14BB" w:rsidRPr="00E5701A" w:rsidRDefault="00ED6714" w:rsidP="00065E40">
            <w:pPr>
              <w:pStyle w:val="TableParagraph"/>
              <w:jc w:val="center"/>
              <w:rPr>
                <w:b/>
                <w:sz w:val="14"/>
                <w:lang w:val="en-GB"/>
              </w:rPr>
            </w:pPr>
            <w:r w:rsidRPr="00E5701A">
              <w:rPr>
                <w:b/>
                <w:bCs/>
                <w:sz w:val="14"/>
                <w:lang w:val="en-GB"/>
              </w:rPr>
              <w:t>Proportion of fixed/variable remuneration, %</w:t>
            </w:r>
          </w:p>
          <w:p w14:paraId="09F064AA" w14:textId="77777777" w:rsidR="00AD14BB" w:rsidRPr="00E5701A" w:rsidRDefault="00ED6714" w:rsidP="00065E40">
            <w:pPr>
              <w:pStyle w:val="TableParagraph"/>
              <w:spacing w:line="152" w:lineRule="exact"/>
              <w:jc w:val="center"/>
              <w:rPr>
                <w:b/>
                <w:sz w:val="14"/>
                <w:lang w:val="en-GB"/>
              </w:rPr>
            </w:pPr>
            <w:r w:rsidRPr="00E5701A">
              <w:rPr>
                <w:b/>
                <w:bCs/>
                <w:sz w:val="14"/>
                <w:lang w:val="en-GB"/>
              </w:rPr>
              <w:t>*****</w:t>
            </w:r>
          </w:p>
        </w:tc>
      </w:tr>
      <w:tr w:rsidR="00FD473C" w:rsidRPr="00E5701A" w14:paraId="67240CAF" w14:textId="77777777" w:rsidTr="00065E40">
        <w:trPr>
          <w:trHeight w:val="329"/>
        </w:trPr>
        <w:tc>
          <w:tcPr>
            <w:tcW w:w="708" w:type="dxa"/>
            <w:tcBorders>
              <w:top w:val="single" w:sz="8" w:space="0" w:color="auto"/>
              <w:left w:val="single" w:sz="8" w:space="0" w:color="000000"/>
              <w:bottom w:val="single" w:sz="8" w:space="0" w:color="000000"/>
              <w:right w:val="single" w:sz="8" w:space="0" w:color="auto"/>
            </w:tcBorders>
            <w:vAlign w:val="center"/>
          </w:tcPr>
          <w:p w14:paraId="715BE57A" w14:textId="1A575397" w:rsidR="00AD2986" w:rsidRPr="00E5701A" w:rsidRDefault="00ED6714" w:rsidP="00AD2986">
            <w:pPr>
              <w:pStyle w:val="TableParagraph"/>
              <w:spacing w:before="60" w:after="60" w:line="151" w:lineRule="exact"/>
              <w:jc w:val="center"/>
              <w:rPr>
                <w:b/>
                <w:bCs/>
                <w:spacing w:val="-2"/>
                <w:sz w:val="14"/>
                <w:lang w:val="en-GB"/>
              </w:rPr>
            </w:pPr>
            <w:r w:rsidRPr="00E5701A">
              <w:rPr>
                <w:b/>
                <w:bCs/>
                <w:sz w:val="14"/>
                <w:lang w:val="en-GB"/>
              </w:rPr>
              <w:t>Kristofer Tonström</w:t>
            </w:r>
          </w:p>
        </w:tc>
        <w:tc>
          <w:tcPr>
            <w:tcW w:w="709" w:type="dxa"/>
            <w:tcBorders>
              <w:top w:val="single" w:sz="8" w:space="0" w:color="auto"/>
              <w:left w:val="single" w:sz="8" w:space="0" w:color="auto"/>
              <w:bottom w:val="single" w:sz="8" w:space="0" w:color="000000"/>
              <w:right w:val="single" w:sz="8" w:space="0" w:color="auto"/>
            </w:tcBorders>
            <w:vAlign w:val="center"/>
          </w:tcPr>
          <w:p w14:paraId="4ECA76F9" w14:textId="63F7FF84" w:rsidR="00AD14BB" w:rsidRPr="00E5701A" w:rsidRDefault="00F3640F" w:rsidP="001D73C6">
            <w:pPr>
              <w:pStyle w:val="TableParagraph"/>
              <w:spacing w:line="159" w:lineRule="exact"/>
              <w:jc w:val="center"/>
              <w:rPr>
                <w:sz w:val="14"/>
                <w:lang w:val="en-GB"/>
              </w:rPr>
            </w:pPr>
            <w:r w:rsidRPr="00E5701A">
              <w:rPr>
                <w:sz w:val="14"/>
                <w:lang w:val="en-GB"/>
              </w:rPr>
              <w:t>1 May 2023–30 Apr 2024</w:t>
            </w:r>
          </w:p>
        </w:tc>
        <w:tc>
          <w:tcPr>
            <w:tcW w:w="851" w:type="dxa"/>
            <w:tcBorders>
              <w:top w:val="single" w:sz="8" w:space="0" w:color="auto"/>
              <w:left w:val="single" w:sz="8" w:space="0" w:color="auto"/>
              <w:bottom w:val="single" w:sz="8" w:space="0" w:color="000000"/>
              <w:right w:val="single" w:sz="8" w:space="0" w:color="auto"/>
            </w:tcBorders>
            <w:vAlign w:val="center"/>
          </w:tcPr>
          <w:p w14:paraId="520BF5F7" w14:textId="48B6C1CA" w:rsidR="00AD14BB" w:rsidRPr="00E5701A" w:rsidRDefault="00C4314D" w:rsidP="00065E40">
            <w:pPr>
              <w:pStyle w:val="TableParagraph"/>
              <w:spacing w:line="151" w:lineRule="exact"/>
              <w:jc w:val="center"/>
              <w:rPr>
                <w:sz w:val="14"/>
                <w:lang w:val="en-GB"/>
              </w:rPr>
            </w:pPr>
            <w:r w:rsidRPr="00E5701A">
              <w:rPr>
                <w:sz w:val="14"/>
                <w:lang w:val="en-GB"/>
              </w:rPr>
              <w:t>7,200</w:t>
            </w:r>
          </w:p>
        </w:tc>
        <w:tc>
          <w:tcPr>
            <w:tcW w:w="850" w:type="dxa"/>
            <w:tcBorders>
              <w:top w:val="single" w:sz="8" w:space="0" w:color="auto"/>
              <w:left w:val="single" w:sz="8" w:space="0" w:color="auto"/>
              <w:bottom w:val="single" w:sz="8" w:space="0" w:color="000000"/>
              <w:right w:val="single" w:sz="8" w:space="0" w:color="auto"/>
            </w:tcBorders>
            <w:vAlign w:val="center"/>
          </w:tcPr>
          <w:p w14:paraId="6F3B02B9" w14:textId="649BD9A2" w:rsidR="00AD14BB" w:rsidRPr="00E5701A" w:rsidRDefault="00C4314D" w:rsidP="00065E40">
            <w:pPr>
              <w:pStyle w:val="TableParagraph"/>
              <w:spacing w:line="151" w:lineRule="exact"/>
              <w:ind w:right="1"/>
              <w:jc w:val="center"/>
              <w:rPr>
                <w:sz w:val="14"/>
                <w:lang w:val="en-GB"/>
              </w:rPr>
            </w:pPr>
            <w:r w:rsidRPr="00E5701A">
              <w:rPr>
                <w:sz w:val="14"/>
                <w:lang w:val="en-GB"/>
              </w:rPr>
              <w:t>164</w:t>
            </w:r>
          </w:p>
        </w:tc>
        <w:tc>
          <w:tcPr>
            <w:tcW w:w="851" w:type="dxa"/>
            <w:tcBorders>
              <w:top w:val="single" w:sz="8" w:space="0" w:color="auto"/>
              <w:left w:val="single" w:sz="8" w:space="0" w:color="auto"/>
              <w:bottom w:val="single" w:sz="8" w:space="0" w:color="000000"/>
              <w:right w:val="single" w:sz="8" w:space="0" w:color="auto"/>
            </w:tcBorders>
            <w:vAlign w:val="center"/>
          </w:tcPr>
          <w:p w14:paraId="6699E6FF" w14:textId="2C45504D" w:rsidR="00AD14BB" w:rsidRPr="00E5701A" w:rsidRDefault="00C4314D" w:rsidP="00065E40">
            <w:pPr>
              <w:pStyle w:val="TableParagraph"/>
              <w:spacing w:line="151" w:lineRule="exact"/>
              <w:jc w:val="center"/>
              <w:rPr>
                <w:sz w:val="14"/>
                <w:lang w:val="en-GB"/>
              </w:rPr>
            </w:pPr>
            <w:r w:rsidRPr="00E5701A">
              <w:rPr>
                <w:sz w:val="14"/>
                <w:lang w:val="en-GB"/>
              </w:rPr>
              <w:t>4,320</w:t>
            </w:r>
          </w:p>
        </w:tc>
        <w:tc>
          <w:tcPr>
            <w:tcW w:w="992" w:type="dxa"/>
            <w:tcBorders>
              <w:top w:val="single" w:sz="8" w:space="0" w:color="auto"/>
              <w:left w:val="single" w:sz="8" w:space="0" w:color="auto"/>
              <w:bottom w:val="single" w:sz="8" w:space="0" w:color="000000"/>
              <w:right w:val="single" w:sz="8" w:space="0" w:color="auto"/>
            </w:tcBorders>
            <w:vAlign w:val="center"/>
          </w:tcPr>
          <w:p w14:paraId="59E31227" w14:textId="19E7468E" w:rsidR="00AD14BB" w:rsidRPr="00E5701A" w:rsidRDefault="00ED6714" w:rsidP="00CE37A7">
            <w:pPr>
              <w:pStyle w:val="TableParagraph"/>
              <w:spacing w:line="151" w:lineRule="exact"/>
              <w:ind w:right="1"/>
              <w:jc w:val="center"/>
              <w:rPr>
                <w:sz w:val="14"/>
                <w:lang w:val="en-GB"/>
              </w:rPr>
            </w:pPr>
            <w:r w:rsidRPr="00E5701A">
              <w:rPr>
                <w:sz w:val="14"/>
                <w:lang w:val="en-GB"/>
              </w:rPr>
              <w:t>0</w:t>
            </w:r>
          </w:p>
        </w:tc>
        <w:tc>
          <w:tcPr>
            <w:tcW w:w="850" w:type="dxa"/>
            <w:tcBorders>
              <w:top w:val="single" w:sz="8" w:space="0" w:color="auto"/>
              <w:left w:val="single" w:sz="8" w:space="0" w:color="auto"/>
              <w:bottom w:val="single" w:sz="8" w:space="0" w:color="000000"/>
              <w:right w:val="single" w:sz="8" w:space="0" w:color="auto"/>
            </w:tcBorders>
            <w:vAlign w:val="center"/>
          </w:tcPr>
          <w:p w14:paraId="5FAE29AD" w14:textId="77777777" w:rsidR="00AD14BB" w:rsidRPr="00E5701A" w:rsidRDefault="00ED6714" w:rsidP="00065E40">
            <w:pPr>
              <w:pStyle w:val="TableParagraph"/>
              <w:spacing w:line="151" w:lineRule="exact"/>
              <w:jc w:val="center"/>
              <w:rPr>
                <w:sz w:val="14"/>
                <w:lang w:val="en-GB"/>
              </w:rPr>
            </w:pPr>
            <w:r w:rsidRPr="00E5701A">
              <w:rPr>
                <w:sz w:val="14"/>
                <w:lang w:val="en-GB"/>
              </w:rPr>
              <w:t>0</w:t>
            </w:r>
          </w:p>
        </w:tc>
        <w:tc>
          <w:tcPr>
            <w:tcW w:w="851" w:type="dxa"/>
            <w:tcBorders>
              <w:top w:val="single" w:sz="8" w:space="0" w:color="auto"/>
              <w:left w:val="single" w:sz="8" w:space="0" w:color="auto"/>
              <w:bottom w:val="single" w:sz="8" w:space="0" w:color="000000"/>
              <w:right w:val="single" w:sz="8" w:space="0" w:color="auto"/>
            </w:tcBorders>
            <w:vAlign w:val="center"/>
          </w:tcPr>
          <w:p w14:paraId="09501AD0" w14:textId="02A52036" w:rsidR="00AD14BB" w:rsidRPr="00E5701A" w:rsidRDefault="00C4314D" w:rsidP="00065E40">
            <w:pPr>
              <w:pStyle w:val="TableParagraph"/>
              <w:spacing w:line="151" w:lineRule="exact"/>
              <w:ind w:right="28"/>
              <w:jc w:val="center"/>
              <w:rPr>
                <w:sz w:val="14"/>
                <w:lang w:val="en-GB"/>
              </w:rPr>
            </w:pPr>
            <w:r w:rsidRPr="00E5701A">
              <w:rPr>
                <w:sz w:val="14"/>
                <w:lang w:val="en-GB"/>
              </w:rPr>
              <w:t>2,520</w:t>
            </w:r>
          </w:p>
        </w:tc>
        <w:tc>
          <w:tcPr>
            <w:tcW w:w="850" w:type="dxa"/>
            <w:tcBorders>
              <w:top w:val="single" w:sz="8" w:space="0" w:color="auto"/>
              <w:left w:val="single" w:sz="8" w:space="0" w:color="auto"/>
              <w:bottom w:val="single" w:sz="8" w:space="0" w:color="000000"/>
              <w:right w:val="single" w:sz="8" w:space="0" w:color="auto"/>
            </w:tcBorders>
            <w:vAlign w:val="center"/>
          </w:tcPr>
          <w:p w14:paraId="57E96A63" w14:textId="13B52136" w:rsidR="00AD14BB" w:rsidRPr="00E5701A" w:rsidRDefault="00C4314D" w:rsidP="00065E40">
            <w:pPr>
              <w:pStyle w:val="TableParagraph"/>
              <w:spacing w:line="151" w:lineRule="exact"/>
              <w:ind w:right="-1"/>
              <w:jc w:val="center"/>
              <w:rPr>
                <w:sz w:val="14"/>
                <w:lang w:val="en-GB"/>
              </w:rPr>
            </w:pPr>
            <w:r w:rsidRPr="00E5701A">
              <w:rPr>
                <w:sz w:val="14"/>
                <w:lang w:val="en-GB"/>
              </w:rPr>
              <w:t>14,204</w:t>
            </w:r>
          </w:p>
        </w:tc>
        <w:tc>
          <w:tcPr>
            <w:tcW w:w="1134" w:type="dxa"/>
            <w:tcBorders>
              <w:top w:val="single" w:sz="8" w:space="0" w:color="auto"/>
              <w:left w:val="single" w:sz="8" w:space="0" w:color="auto"/>
              <w:bottom w:val="single" w:sz="8" w:space="0" w:color="000000"/>
              <w:right w:val="single" w:sz="8" w:space="0" w:color="000000"/>
            </w:tcBorders>
            <w:vAlign w:val="center"/>
          </w:tcPr>
          <w:p w14:paraId="0249E007" w14:textId="7DE67791" w:rsidR="00AD14BB" w:rsidRPr="00E5701A" w:rsidRDefault="00C4314D" w:rsidP="00065E40">
            <w:pPr>
              <w:pStyle w:val="TableParagraph"/>
              <w:spacing w:line="151" w:lineRule="exact"/>
              <w:jc w:val="center"/>
              <w:rPr>
                <w:sz w:val="14"/>
                <w:lang w:val="en-GB"/>
              </w:rPr>
            </w:pPr>
            <w:r w:rsidRPr="00E5701A">
              <w:rPr>
                <w:sz w:val="14"/>
                <w:lang w:val="en-GB"/>
              </w:rPr>
              <w:t>70/30</w:t>
            </w:r>
          </w:p>
        </w:tc>
      </w:tr>
    </w:tbl>
    <w:p w14:paraId="5699C103" w14:textId="77777777" w:rsidR="00AD14BB" w:rsidRPr="00E5701A" w:rsidRDefault="00AD14BB" w:rsidP="00065E40">
      <w:pPr>
        <w:pStyle w:val="BodyText"/>
        <w:spacing w:before="3"/>
        <w:rPr>
          <w:b/>
          <w:sz w:val="8"/>
          <w:szCs w:val="8"/>
          <w:lang w:val="en-GB"/>
        </w:rPr>
      </w:pPr>
    </w:p>
    <w:tbl>
      <w:tblPr>
        <w:tblW w:w="0" w:type="auto"/>
        <w:tblLayout w:type="fixed"/>
        <w:tblCellMar>
          <w:left w:w="0" w:type="dxa"/>
          <w:right w:w="0" w:type="dxa"/>
        </w:tblCellMar>
        <w:tblLook w:val="01E0" w:firstRow="1" w:lastRow="1" w:firstColumn="1" w:lastColumn="1" w:noHBand="0" w:noVBand="0"/>
      </w:tblPr>
      <w:tblGrid>
        <w:gridCol w:w="7379"/>
      </w:tblGrid>
      <w:tr w:rsidR="00AD14BB" w:rsidRPr="00E5701A" w14:paraId="693224C0" w14:textId="77777777" w:rsidTr="00065E40">
        <w:trPr>
          <w:trHeight w:val="195"/>
        </w:trPr>
        <w:tc>
          <w:tcPr>
            <w:tcW w:w="7379" w:type="dxa"/>
          </w:tcPr>
          <w:p w14:paraId="638E67D4" w14:textId="35BBFD99" w:rsidR="00AD14BB" w:rsidRPr="00E5701A" w:rsidRDefault="00ED6714" w:rsidP="00AD2986">
            <w:pPr>
              <w:pStyle w:val="TableParagraph"/>
              <w:spacing w:before="30" w:after="30"/>
              <w:rPr>
                <w:sz w:val="12"/>
                <w:szCs w:val="12"/>
                <w:lang w:val="en-GB"/>
              </w:rPr>
            </w:pPr>
            <w:r w:rsidRPr="00E5701A">
              <w:rPr>
                <w:sz w:val="12"/>
                <w:szCs w:val="12"/>
                <w:lang w:val="en-GB"/>
              </w:rPr>
              <w:t>* Remuneration for period stated above</w:t>
            </w:r>
          </w:p>
        </w:tc>
      </w:tr>
      <w:tr w:rsidR="00AD14BB" w:rsidRPr="00E5701A" w14:paraId="25887793" w14:textId="77777777" w:rsidTr="00AD2986">
        <w:trPr>
          <w:trHeight w:val="54"/>
        </w:trPr>
        <w:tc>
          <w:tcPr>
            <w:tcW w:w="7379" w:type="dxa"/>
          </w:tcPr>
          <w:p w14:paraId="43B8D9CD" w14:textId="77777777" w:rsidR="00AD14BB" w:rsidRPr="00E5701A" w:rsidRDefault="00ED6714" w:rsidP="00AD2986">
            <w:pPr>
              <w:pStyle w:val="TableParagraph"/>
              <w:spacing w:before="30" w:after="30"/>
              <w:rPr>
                <w:sz w:val="12"/>
                <w:szCs w:val="12"/>
                <w:lang w:val="en-GB"/>
              </w:rPr>
            </w:pPr>
            <w:r w:rsidRPr="00E5701A">
              <w:rPr>
                <w:sz w:val="12"/>
                <w:szCs w:val="12"/>
                <w:lang w:val="en-GB"/>
              </w:rPr>
              <w:t>** Benefits comprising company car, fuel, congestion charge, health insurance</w:t>
            </w:r>
          </w:p>
        </w:tc>
      </w:tr>
      <w:tr w:rsidR="00AD14BB" w:rsidRPr="00E5701A" w14:paraId="20937CF6" w14:textId="77777777" w:rsidTr="00AD2986">
        <w:trPr>
          <w:trHeight w:val="54"/>
        </w:trPr>
        <w:tc>
          <w:tcPr>
            <w:tcW w:w="7379" w:type="dxa"/>
          </w:tcPr>
          <w:p w14:paraId="7F5FFDAB" w14:textId="07FCB06D" w:rsidR="00AD14BB" w:rsidRPr="00E5701A" w:rsidRDefault="00ED6714" w:rsidP="00AD2986">
            <w:pPr>
              <w:pStyle w:val="TableParagraph"/>
              <w:spacing w:before="30" w:after="30"/>
              <w:ind w:right="300"/>
              <w:rPr>
                <w:sz w:val="12"/>
                <w:szCs w:val="12"/>
                <w:lang w:val="en-GB"/>
              </w:rPr>
            </w:pPr>
            <w:r w:rsidRPr="00E5701A">
              <w:rPr>
                <w:sz w:val="12"/>
                <w:szCs w:val="12"/>
                <w:lang w:val="en-GB"/>
              </w:rPr>
              <w:t xml:space="preserve">*** Short-term incentive plan calculated using rounded months </w:t>
            </w:r>
          </w:p>
        </w:tc>
      </w:tr>
      <w:tr w:rsidR="00AD14BB" w:rsidRPr="00E5701A" w14:paraId="569E25D3" w14:textId="77777777" w:rsidTr="00AD2986">
        <w:trPr>
          <w:trHeight w:val="54"/>
        </w:trPr>
        <w:tc>
          <w:tcPr>
            <w:tcW w:w="7379" w:type="dxa"/>
          </w:tcPr>
          <w:p w14:paraId="552DBC50" w14:textId="007D56BC" w:rsidR="00AD14BB" w:rsidRPr="00E5701A" w:rsidRDefault="00ED6714" w:rsidP="00AD2986">
            <w:pPr>
              <w:pStyle w:val="TableParagraph"/>
              <w:spacing w:before="30" w:after="30"/>
              <w:rPr>
                <w:sz w:val="12"/>
                <w:szCs w:val="12"/>
                <w:lang w:val="en-GB"/>
              </w:rPr>
            </w:pPr>
            <w:r w:rsidRPr="00E5701A">
              <w:rPr>
                <w:sz w:val="12"/>
                <w:szCs w:val="12"/>
                <w:lang w:val="en-GB"/>
              </w:rPr>
              <w:t>**** A description of applicable multi-year variable remuneration is provided under the heading Summary of the long-term incentive programme (CEO)</w:t>
            </w:r>
          </w:p>
        </w:tc>
      </w:tr>
      <w:tr w:rsidR="00AD14BB" w:rsidRPr="00E5701A" w14:paraId="2B8D9A05" w14:textId="77777777" w:rsidTr="00AD2986">
        <w:trPr>
          <w:trHeight w:val="54"/>
        </w:trPr>
        <w:tc>
          <w:tcPr>
            <w:tcW w:w="7379" w:type="dxa"/>
          </w:tcPr>
          <w:p w14:paraId="71D5A0FA" w14:textId="63751501" w:rsidR="00AD14BB" w:rsidRPr="00E5701A" w:rsidRDefault="00ED6714" w:rsidP="00AD2986">
            <w:pPr>
              <w:pStyle w:val="TableParagraph"/>
              <w:spacing w:before="30" w:after="30"/>
              <w:rPr>
                <w:sz w:val="12"/>
                <w:szCs w:val="12"/>
                <w:lang w:val="en-GB"/>
              </w:rPr>
            </w:pPr>
            <w:r w:rsidRPr="00E5701A">
              <w:rPr>
                <w:sz w:val="12"/>
                <w:szCs w:val="12"/>
                <w:lang w:val="en-GB"/>
              </w:rPr>
              <w:t>***** Fixed salary (basic salary, other benefits, pension), variable salary (annual, multi-year remuneration, extraordinary items, no pension provisions on variable salary)</w:t>
            </w:r>
          </w:p>
        </w:tc>
      </w:tr>
    </w:tbl>
    <w:p w14:paraId="725A8DC0" w14:textId="77777777" w:rsidR="00AD14BB" w:rsidRPr="00E5701A" w:rsidRDefault="00AD14BB" w:rsidP="00065E40">
      <w:pPr>
        <w:pStyle w:val="BodyText"/>
        <w:spacing w:before="3"/>
        <w:rPr>
          <w:b/>
          <w:lang w:val="en-GB"/>
        </w:rPr>
      </w:pPr>
    </w:p>
    <w:p w14:paraId="16FCFA16" w14:textId="77777777" w:rsidR="00AD14BB" w:rsidRPr="00E5701A" w:rsidRDefault="00ED6714" w:rsidP="00065E40">
      <w:pPr>
        <w:spacing w:before="1"/>
        <w:rPr>
          <w:b/>
          <w:sz w:val="20"/>
          <w:lang w:val="en-GB"/>
        </w:rPr>
      </w:pPr>
      <w:r w:rsidRPr="00E5701A">
        <w:rPr>
          <w:b/>
          <w:bCs/>
          <w:sz w:val="20"/>
          <w:u w:val="single"/>
          <w:lang w:val="en-GB"/>
        </w:rPr>
        <w:t>Share-based remuneration</w:t>
      </w:r>
    </w:p>
    <w:p w14:paraId="0212D0DF" w14:textId="77777777" w:rsidR="00AD14BB" w:rsidRPr="00E5701A" w:rsidRDefault="00AD14BB" w:rsidP="00065E40">
      <w:pPr>
        <w:pStyle w:val="BodyText"/>
        <w:spacing w:before="6"/>
        <w:rPr>
          <w:b/>
          <w:lang w:val="en-GB"/>
        </w:rPr>
      </w:pPr>
    </w:p>
    <w:p w14:paraId="26E3BB4D" w14:textId="690DF546" w:rsidR="00AD14BB" w:rsidRPr="00E5701A" w:rsidRDefault="00ED6714" w:rsidP="00065E40">
      <w:pPr>
        <w:spacing w:before="60"/>
        <w:rPr>
          <w:b/>
          <w:i/>
          <w:sz w:val="20"/>
          <w:lang w:val="en-GB"/>
        </w:rPr>
      </w:pPr>
      <w:r w:rsidRPr="00E5701A">
        <w:rPr>
          <w:b/>
          <w:bCs/>
          <w:i/>
          <w:iCs/>
          <w:sz w:val="20"/>
          <w:lang w:val="en-GB"/>
        </w:rPr>
        <w:t>Outstanding share-based and share price-based incentive plans 2023/2024</w:t>
      </w:r>
    </w:p>
    <w:p w14:paraId="09954CF9" w14:textId="77777777" w:rsidR="00AD14BB" w:rsidRPr="00E5701A" w:rsidRDefault="00AD14BB" w:rsidP="00065E40">
      <w:pPr>
        <w:pStyle w:val="BodyText"/>
        <w:spacing w:before="7"/>
        <w:rPr>
          <w:b/>
          <w:i/>
          <w:sz w:val="24"/>
          <w:lang w:val="en-GB"/>
        </w:rPr>
      </w:pPr>
    </w:p>
    <w:p w14:paraId="3FB6A853" w14:textId="117016C3" w:rsidR="00AD14BB" w:rsidRPr="00E5701A" w:rsidRDefault="00ED6714" w:rsidP="00065E40">
      <w:pPr>
        <w:pStyle w:val="Heading1"/>
        <w:ind w:left="0"/>
        <w:rPr>
          <w:u w:val="none"/>
          <w:lang w:val="en-GB"/>
        </w:rPr>
      </w:pPr>
      <w:r w:rsidRPr="00E5701A">
        <w:rPr>
          <w:lang w:val="en-GB"/>
        </w:rPr>
        <w:t>Long-term incentives (“LTI”)</w:t>
      </w:r>
    </w:p>
    <w:p w14:paraId="5D645703" w14:textId="77777777" w:rsidR="00AD14BB" w:rsidRPr="00E5701A" w:rsidRDefault="00AD14BB" w:rsidP="00065E40">
      <w:pPr>
        <w:pStyle w:val="BodyText"/>
        <w:spacing w:before="3"/>
        <w:rPr>
          <w:b/>
          <w:sz w:val="18"/>
          <w:lang w:val="en-GB"/>
        </w:rPr>
      </w:pPr>
    </w:p>
    <w:p w14:paraId="2ABEEA06" w14:textId="77777777" w:rsidR="005F264A" w:rsidRPr="00E5701A" w:rsidRDefault="005F264A" w:rsidP="00065E40">
      <w:pPr>
        <w:pStyle w:val="BodyText"/>
        <w:spacing w:before="10"/>
        <w:rPr>
          <w:lang w:val="en-GB"/>
        </w:rPr>
      </w:pPr>
      <w:r w:rsidRPr="00E5701A">
        <w:rPr>
          <w:lang w:val="en-GB"/>
        </w:rPr>
        <w:t>The aim of LTI programmes is to create the prerequisites for retaining and recruiting competent employees to the Group. The programmes were designed to encourage participants to become shareholders in the company, which is expected to have a positive impact on their long-term work performance. Connecting participants’ rewards to the company’s profit and value development will continue to promote company loyalty and thus sustainable value growth in the company.</w:t>
      </w:r>
    </w:p>
    <w:p w14:paraId="02982A21" w14:textId="77777777" w:rsidR="005F264A" w:rsidRPr="00E5701A" w:rsidRDefault="005F264A" w:rsidP="00065E40">
      <w:pPr>
        <w:pStyle w:val="BodyText"/>
        <w:spacing w:before="10"/>
        <w:rPr>
          <w:lang w:val="en-GB"/>
        </w:rPr>
      </w:pPr>
    </w:p>
    <w:p w14:paraId="4193AA19" w14:textId="716DAD17" w:rsidR="00845967" w:rsidRPr="00E5701A" w:rsidRDefault="00BD7CFC" w:rsidP="00065E40">
      <w:pPr>
        <w:pStyle w:val="BodyText"/>
        <w:spacing w:before="10"/>
        <w:rPr>
          <w:lang w:val="en-GB"/>
        </w:rPr>
      </w:pPr>
      <w:r w:rsidRPr="00E5701A">
        <w:rPr>
          <w:lang w:val="en-GB"/>
        </w:rPr>
        <w:t>Long-term incentive programmes that entitle employees to acquire shares are subject to AGM approval. The performance period for LTI 2021, LTI 2022 and LTI 2023 were in effect during the financial year. All long-term incentive programmes encompass performance shares.</w:t>
      </w:r>
    </w:p>
    <w:p w14:paraId="1472E653" w14:textId="77777777" w:rsidR="00D81335" w:rsidRPr="00E5701A" w:rsidRDefault="00D81335" w:rsidP="00065E40">
      <w:pPr>
        <w:pStyle w:val="BodyText"/>
        <w:spacing w:before="10"/>
        <w:rPr>
          <w:lang w:val="en-GB"/>
        </w:rPr>
      </w:pPr>
    </w:p>
    <w:p w14:paraId="2E6AE773" w14:textId="27C9A95C" w:rsidR="00D81335" w:rsidRPr="00E5701A" w:rsidRDefault="00D81335" w:rsidP="00065E40">
      <w:pPr>
        <w:pStyle w:val="BodyText"/>
        <w:spacing w:before="10"/>
        <w:rPr>
          <w:lang w:val="en-GB"/>
        </w:rPr>
      </w:pPr>
      <w:r w:rsidRPr="00E5701A">
        <w:rPr>
          <w:lang w:val="en-GB"/>
        </w:rPr>
        <w:t>All ongoing long-term incentive programmes have been approved by the AGM. The current programme covers up to 50 senior executives and other individuals deemed to be able to influence Clas Ohlson’s development in the long-term.</w:t>
      </w:r>
    </w:p>
    <w:p w14:paraId="212057CD" w14:textId="77777777" w:rsidR="000B7E0D" w:rsidRPr="00E5701A" w:rsidRDefault="000B7E0D" w:rsidP="00065E40">
      <w:pPr>
        <w:pStyle w:val="BodyText"/>
        <w:spacing w:before="10"/>
        <w:rPr>
          <w:lang w:val="en-GB"/>
        </w:rPr>
      </w:pPr>
    </w:p>
    <w:p w14:paraId="57B6EBC1" w14:textId="77777777" w:rsidR="000B7E0D" w:rsidRPr="00E5701A" w:rsidRDefault="000B7E0D" w:rsidP="000B7E0D">
      <w:pPr>
        <w:pStyle w:val="BodyText"/>
        <w:spacing w:before="10"/>
        <w:rPr>
          <w:u w:val="single"/>
          <w:lang w:val="en-GB"/>
        </w:rPr>
      </w:pPr>
      <w:r w:rsidRPr="00E5701A">
        <w:rPr>
          <w:u w:val="single"/>
          <w:lang w:val="en-GB"/>
        </w:rPr>
        <w:t>Structure of long-term incentive programmes</w:t>
      </w:r>
    </w:p>
    <w:p w14:paraId="1947E5D3" w14:textId="77777777" w:rsidR="000C7342" w:rsidRPr="00E5701A" w:rsidRDefault="000C7342" w:rsidP="000B7E0D">
      <w:pPr>
        <w:pStyle w:val="BodyText"/>
        <w:spacing w:before="10"/>
        <w:rPr>
          <w:lang w:val="en-GB"/>
        </w:rPr>
      </w:pPr>
    </w:p>
    <w:p w14:paraId="49FB2EF4" w14:textId="6B64E8E7" w:rsidR="000B7E0D" w:rsidRPr="00E5701A" w:rsidRDefault="000B7E0D" w:rsidP="000B7E0D">
      <w:pPr>
        <w:pStyle w:val="BodyText"/>
        <w:spacing w:before="10"/>
        <w:rPr>
          <w:lang w:val="en-GB"/>
        </w:rPr>
      </w:pPr>
      <w:r w:rsidRPr="00E5701A">
        <w:rPr>
          <w:lang w:val="en-GB"/>
        </w:rPr>
        <w:t xml:space="preserve">All participants of the LTI receive one performance share award free of charge that provides the participant the opportunity to be allotted </w:t>
      </w:r>
      <w:proofErr w:type="gramStart"/>
      <w:r w:rsidRPr="00E5701A">
        <w:rPr>
          <w:lang w:val="en-GB"/>
        </w:rPr>
        <w:t>a number of</w:t>
      </w:r>
      <w:proofErr w:type="gramEnd"/>
      <w:r w:rsidRPr="00E5701A">
        <w:rPr>
          <w:lang w:val="en-GB"/>
        </w:rPr>
        <w:t xml:space="preserve"> series B shares in Clas Ohlson, provided that the performance conditions of the LTI determined by the Board have been fulfilled. The value of the underlying shares offered when granted a performance share award will be 45 per cent of the individual fixed annual gross basic salary. The amount is divided by the share price at the start of the programme to calculate the number of underlying shares for each participant. The participants comprise senior management and key individuals. Any allotment of performance shares will take place after the end of a three-year vesting period provided that the participant has been a permanent employee for the entire vesting period and the predetermined performance targets have been achieved.</w:t>
      </w:r>
    </w:p>
    <w:p w14:paraId="3AFC6FF4" w14:textId="77777777" w:rsidR="00845967" w:rsidRPr="00E5701A" w:rsidRDefault="00845967" w:rsidP="00065E40">
      <w:pPr>
        <w:pStyle w:val="BodyText"/>
        <w:spacing w:before="10"/>
        <w:rPr>
          <w:lang w:val="en-GB"/>
        </w:rPr>
      </w:pPr>
    </w:p>
    <w:p w14:paraId="1EA2D474" w14:textId="213459D8" w:rsidR="00AD14BB" w:rsidRPr="00E5701A" w:rsidRDefault="00BE5FAB" w:rsidP="00065E40">
      <w:pPr>
        <w:pStyle w:val="BodyText"/>
        <w:rPr>
          <w:sz w:val="23"/>
          <w:lang w:val="en-GB"/>
        </w:rPr>
      </w:pPr>
      <w:r w:rsidRPr="00E5701A">
        <w:rPr>
          <w:lang w:val="en-GB"/>
        </w:rPr>
        <w:t xml:space="preserve">The assessment of the outcome of the performance conditions is split as follows: net sales (30 per cent), earnings per share (40 per cent) and sustainability (30 per cent). The outcome for each performance condition will be determined individually. This means that not all performance conditions need to be met </w:t>
      </w:r>
      <w:proofErr w:type="gramStart"/>
      <w:r w:rsidRPr="00E5701A">
        <w:rPr>
          <w:lang w:val="en-GB"/>
        </w:rPr>
        <w:t>in order for</w:t>
      </w:r>
      <w:proofErr w:type="gramEnd"/>
      <w:r w:rsidRPr="00E5701A">
        <w:rPr>
          <w:lang w:val="en-GB"/>
        </w:rPr>
        <w:t xml:space="preserve"> the Performance Shares to be allotted. Minimum and maximum levels are set for each performance condition. If the minimum level is achieved, 30 per cent allotment related to the performance condition will take place. If the maximum level is achieved or exceeded, the maximum allotment related to the performance condition will take place. If the outcome is between the minimum and maximum levels, straight-line allotment takes place and no allotment takes place if the minimum level is </w:t>
      </w:r>
      <w:r w:rsidRPr="00E5701A">
        <w:rPr>
          <w:lang w:val="en-GB"/>
        </w:rPr>
        <w:lastRenderedPageBreak/>
        <w:t>achieved. The number of performance shares that can be allotted for each share right will be adjusted for any dividends made during the period from the determination of the opening value up until the date of the allotment of the performance shares after the end of the vesting period.</w:t>
      </w:r>
    </w:p>
    <w:p w14:paraId="66407BE6" w14:textId="52DE148C" w:rsidR="006B1096" w:rsidRPr="00E5701A" w:rsidRDefault="006B1096" w:rsidP="00065E40">
      <w:pPr>
        <w:pStyle w:val="BodyText"/>
        <w:spacing w:before="59"/>
        <w:ind w:right="722"/>
        <w:rPr>
          <w:lang w:val="en-GB"/>
        </w:rPr>
      </w:pPr>
    </w:p>
    <w:p w14:paraId="2D60C2F5" w14:textId="77777777" w:rsidR="00B16E69" w:rsidRPr="00E5701A" w:rsidRDefault="00B16E69" w:rsidP="00065E40">
      <w:pPr>
        <w:pStyle w:val="BodyText"/>
        <w:rPr>
          <w:u w:val="single"/>
          <w:lang w:val="en-GB"/>
        </w:rPr>
      </w:pPr>
    </w:p>
    <w:p w14:paraId="47DD927D" w14:textId="36EC96C5" w:rsidR="006B1096" w:rsidRPr="00E5701A" w:rsidRDefault="006B1096" w:rsidP="00065E40">
      <w:pPr>
        <w:pStyle w:val="BodyText"/>
        <w:rPr>
          <w:lang w:val="en-GB"/>
        </w:rPr>
      </w:pPr>
      <w:r w:rsidRPr="00E5701A">
        <w:rPr>
          <w:u w:val="single"/>
          <w:lang w:val="en-GB"/>
        </w:rPr>
        <w:t>LTI 2021</w:t>
      </w:r>
    </w:p>
    <w:p w14:paraId="1A49AC4A" w14:textId="77777777" w:rsidR="006B1096" w:rsidRPr="00E5701A" w:rsidRDefault="006B1096" w:rsidP="00065E40">
      <w:pPr>
        <w:pStyle w:val="BodyText"/>
        <w:spacing w:before="3"/>
        <w:rPr>
          <w:sz w:val="18"/>
          <w:lang w:val="en-GB"/>
        </w:rPr>
      </w:pPr>
    </w:p>
    <w:p w14:paraId="1763556C" w14:textId="4DFA1BFB" w:rsidR="006B1096" w:rsidRPr="00E5701A" w:rsidRDefault="0094638B" w:rsidP="00065E40">
      <w:pPr>
        <w:pStyle w:val="BodyText"/>
        <w:spacing w:before="59"/>
        <w:ind w:right="722"/>
        <w:rPr>
          <w:lang w:val="en-GB"/>
        </w:rPr>
      </w:pPr>
      <w:r w:rsidRPr="00E5701A">
        <w:rPr>
          <w:lang w:val="en-GB"/>
        </w:rPr>
        <w:t>The performance periods for the LTI 2021 long-term incentive programme runs from 1 May 2021 until 30 April 2024. Any allotment of performance shares will take place after the end of a three-year vesting period provided that the participant has been a permanent employee for the entire vesting period and the predetermined performance targets have been achieved.</w:t>
      </w:r>
    </w:p>
    <w:p w14:paraId="1A4D41CA" w14:textId="055585F9" w:rsidR="004A2E9F" w:rsidRPr="00E5701A" w:rsidRDefault="004A2E9F" w:rsidP="00065E40">
      <w:pPr>
        <w:pStyle w:val="BodyText"/>
        <w:spacing w:before="59"/>
        <w:ind w:right="722"/>
        <w:rPr>
          <w:lang w:val="en-GB"/>
        </w:rPr>
      </w:pPr>
    </w:p>
    <w:p w14:paraId="321FC0C2" w14:textId="1863ABC9" w:rsidR="004A2E9F" w:rsidRPr="00E5701A" w:rsidRDefault="004A2E9F" w:rsidP="004A2E9F">
      <w:pPr>
        <w:pStyle w:val="BodyText"/>
        <w:rPr>
          <w:lang w:val="en-GB"/>
        </w:rPr>
      </w:pPr>
      <w:r w:rsidRPr="00E5701A">
        <w:rPr>
          <w:u w:val="single"/>
          <w:lang w:val="en-GB"/>
        </w:rPr>
        <w:t>LTI 2022</w:t>
      </w:r>
    </w:p>
    <w:p w14:paraId="0732A87F" w14:textId="77777777" w:rsidR="004A2E9F" w:rsidRPr="00E5701A" w:rsidRDefault="004A2E9F" w:rsidP="004A2E9F">
      <w:pPr>
        <w:pStyle w:val="BodyText"/>
        <w:spacing w:before="3"/>
        <w:rPr>
          <w:sz w:val="18"/>
          <w:lang w:val="en-GB"/>
        </w:rPr>
      </w:pPr>
    </w:p>
    <w:p w14:paraId="3D76D7B2" w14:textId="0DE00C1E" w:rsidR="004A2E9F" w:rsidRPr="00E5701A" w:rsidRDefault="004A2E9F" w:rsidP="004A2E9F">
      <w:pPr>
        <w:pStyle w:val="BodyText"/>
        <w:spacing w:before="59"/>
        <w:ind w:right="722"/>
        <w:rPr>
          <w:lang w:val="en-GB"/>
        </w:rPr>
      </w:pPr>
      <w:r w:rsidRPr="00E5701A">
        <w:rPr>
          <w:lang w:val="en-GB"/>
        </w:rPr>
        <w:t>The performance periods for the LTI 2022 long-term incentive programme runs from 1 May 2022 until 30 April 2025. Any allotment of performance shares will take place after the end of a three-year vesting period provided that the participant has been a permanent employee for the entire vesting period and the predetermined performance targets have been achieved.</w:t>
      </w:r>
    </w:p>
    <w:p w14:paraId="06D95066" w14:textId="77777777" w:rsidR="00844E57" w:rsidRPr="00E5701A" w:rsidRDefault="00844E57" w:rsidP="004A2E9F">
      <w:pPr>
        <w:pStyle w:val="BodyText"/>
        <w:spacing w:before="59"/>
        <w:ind w:right="722"/>
        <w:rPr>
          <w:lang w:val="en-GB"/>
        </w:rPr>
      </w:pPr>
    </w:p>
    <w:p w14:paraId="56484B14" w14:textId="6D88D885" w:rsidR="00844E57" w:rsidRPr="00E5701A" w:rsidRDefault="00844E57" w:rsidP="00844E57">
      <w:pPr>
        <w:pStyle w:val="BodyText"/>
        <w:rPr>
          <w:lang w:val="en-GB"/>
        </w:rPr>
      </w:pPr>
      <w:r w:rsidRPr="00E5701A">
        <w:rPr>
          <w:u w:val="single"/>
          <w:lang w:val="en-GB"/>
        </w:rPr>
        <w:t>LTI 2023</w:t>
      </w:r>
    </w:p>
    <w:p w14:paraId="2E752033" w14:textId="77777777" w:rsidR="00844E57" w:rsidRPr="00E5701A" w:rsidRDefault="00844E57" w:rsidP="00844E57">
      <w:pPr>
        <w:pStyle w:val="BodyText"/>
        <w:spacing w:before="3"/>
        <w:rPr>
          <w:sz w:val="18"/>
          <w:lang w:val="en-GB"/>
        </w:rPr>
      </w:pPr>
    </w:p>
    <w:p w14:paraId="5E610783" w14:textId="6661156E" w:rsidR="00844E57" w:rsidRPr="00E5701A" w:rsidRDefault="00844E57" w:rsidP="00844E57">
      <w:pPr>
        <w:pStyle w:val="BodyText"/>
        <w:spacing w:before="59"/>
        <w:ind w:right="722"/>
        <w:rPr>
          <w:lang w:val="en-GB"/>
        </w:rPr>
      </w:pPr>
      <w:r w:rsidRPr="00E5701A">
        <w:rPr>
          <w:lang w:val="en-GB"/>
        </w:rPr>
        <w:t>The performance periods for the LTI 2023 long-term incentive programme runs from 1 May 2023 until 30 April 2026. Any allotment of performance shares will take place after the end of a three-year vesting period provided that the participant has been a permanent employee for the entire vesting period and the predetermined performance targets have been achieved.</w:t>
      </w:r>
    </w:p>
    <w:p w14:paraId="0D8327D7" w14:textId="77777777" w:rsidR="00844E57" w:rsidRPr="00E5701A" w:rsidRDefault="00844E57" w:rsidP="004A2E9F">
      <w:pPr>
        <w:pStyle w:val="BodyText"/>
        <w:spacing w:before="59"/>
        <w:ind w:right="722"/>
        <w:rPr>
          <w:lang w:val="en-GB"/>
        </w:rPr>
      </w:pPr>
    </w:p>
    <w:p w14:paraId="54493BB5" w14:textId="25A80352" w:rsidR="00AD14BB" w:rsidRPr="00E5701A" w:rsidRDefault="00ED6714" w:rsidP="00065E40">
      <w:pPr>
        <w:pStyle w:val="BodyText"/>
        <w:rPr>
          <w:sz w:val="22"/>
          <w:lang w:val="en-GB"/>
        </w:rPr>
      </w:pPr>
      <w:r w:rsidRPr="00E5701A">
        <w:rPr>
          <w:lang w:val="en-GB"/>
        </w:rPr>
        <w:t>The above programmes are described in more detail in Note 6 of the Annual Report.</w:t>
      </w:r>
    </w:p>
    <w:p w14:paraId="381069A4" w14:textId="77777777" w:rsidR="00F52218" w:rsidRPr="00E5701A" w:rsidRDefault="00F52218" w:rsidP="00065E40">
      <w:pPr>
        <w:pStyle w:val="BodyText"/>
        <w:spacing w:before="11"/>
        <w:rPr>
          <w:sz w:val="22"/>
          <w:lang w:val="en-GB"/>
        </w:rPr>
      </w:pPr>
    </w:p>
    <w:p w14:paraId="188482AC" w14:textId="3C421ADE" w:rsidR="00AD14BB" w:rsidRPr="00E5701A" w:rsidRDefault="00ED6714" w:rsidP="00065E40">
      <w:pPr>
        <w:rPr>
          <w:b/>
          <w:i/>
          <w:lang w:val="en-GB"/>
        </w:rPr>
      </w:pPr>
      <w:r w:rsidRPr="00E5701A">
        <w:rPr>
          <w:b/>
          <w:bCs/>
          <w:i/>
          <w:iCs/>
          <w:lang w:val="en-GB"/>
        </w:rPr>
        <w:t>Summary of the long-term incentive programme (CEO)</w:t>
      </w:r>
    </w:p>
    <w:p w14:paraId="2E95B3E3" w14:textId="77777777" w:rsidR="00AD14BB" w:rsidRPr="00E5701A" w:rsidRDefault="00AD14BB" w:rsidP="00065E40">
      <w:pPr>
        <w:pStyle w:val="BodyText"/>
        <w:rPr>
          <w:b/>
          <w:i/>
          <w:sz w:val="22"/>
          <w:lang w:val="en-GB"/>
        </w:rPr>
      </w:pPr>
    </w:p>
    <w:p w14:paraId="4022D62B" w14:textId="1687A298" w:rsidR="00AD14BB" w:rsidRPr="00E5701A" w:rsidRDefault="00ED6714" w:rsidP="00065E40">
      <w:pPr>
        <w:pStyle w:val="BodyText"/>
        <w:ind w:right="722"/>
        <w:rPr>
          <w:lang w:val="en-GB"/>
        </w:rPr>
      </w:pPr>
      <w:r w:rsidRPr="00E5701A">
        <w:rPr>
          <w:lang w:val="en-GB"/>
        </w:rPr>
        <w:t>The following summary is of the long-term incentive programmes that ran during the 2023/2024 financial year.</w:t>
      </w:r>
    </w:p>
    <w:p w14:paraId="6662BB1D" w14:textId="77777777" w:rsidR="00AD14BB" w:rsidRPr="00E5701A" w:rsidRDefault="00AD14BB" w:rsidP="00065E40">
      <w:pPr>
        <w:pStyle w:val="BodyText"/>
        <w:rPr>
          <w:sz w:val="23"/>
          <w:lang w:val="en-GB"/>
        </w:rPr>
      </w:pPr>
    </w:p>
    <w:p w14:paraId="74B12DA9" w14:textId="7C91CAEF" w:rsidR="00AD14BB" w:rsidRPr="00E5701A" w:rsidRDefault="00ED6714" w:rsidP="00065E40">
      <w:pPr>
        <w:pStyle w:val="BodyText"/>
        <w:rPr>
          <w:lang w:val="en-GB"/>
        </w:rPr>
      </w:pPr>
      <w:r w:rsidRPr="00E5701A">
        <w:rPr>
          <w:lang w:val="en-GB"/>
        </w:rPr>
        <w:t xml:space="preserve">During the 2023/2024 financial year, </w:t>
      </w:r>
      <w:proofErr w:type="gramStart"/>
      <w:r w:rsidRPr="00E5701A">
        <w:rPr>
          <w:lang w:val="en-GB"/>
        </w:rPr>
        <w:t>President</w:t>
      </w:r>
      <w:proofErr w:type="gramEnd"/>
      <w:r w:rsidRPr="00E5701A">
        <w:rPr>
          <w:lang w:val="en-GB"/>
        </w:rPr>
        <w:t xml:space="preserve"> and CEO Kristofer Tonström was included in LTI 2021. LTI 2022 and LTI 2023. During the financial year, Kristofer Tonström received one performance share award (“</w:t>
      </w:r>
      <w:r w:rsidRPr="00E5701A">
        <w:rPr>
          <w:b/>
          <w:bCs/>
          <w:lang w:val="en-GB"/>
        </w:rPr>
        <w:t>LTI award</w:t>
      </w:r>
      <w:r w:rsidRPr="00E5701A">
        <w:rPr>
          <w:lang w:val="en-GB"/>
        </w:rPr>
        <w:t xml:space="preserve">”), which offers him the opportunity to be allotted, free of charge, </w:t>
      </w:r>
      <w:proofErr w:type="gramStart"/>
      <w:r w:rsidRPr="00E5701A">
        <w:rPr>
          <w:lang w:val="en-GB"/>
        </w:rPr>
        <w:t>a number of</w:t>
      </w:r>
      <w:proofErr w:type="gramEnd"/>
      <w:r w:rsidRPr="00E5701A">
        <w:rPr>
          <w:lang w:val="en-GB"/>
        </w:rPr>
        <w:t xml:space="preserve"> series B shares in Clas Ohlson. The value of the underlying shares offered when granted the LTI right will be 45 per cent of his fixed annual gross basic salary in 2023. However, since the programme is ongoing, no performance shares were allotted under LTI 2021, LTI 2022 and LTI 2023 during the financial year, which is why no outcome for multi-year variable remuneration is presented in table 1.</w:t>
      </w:r>
    </w:p>
    <w:p w14:paraId="497A5C98" w14:textId="77777777" w:rsidR="009246B2" w:rsidRPr="00E5701A" w:rsidRDefault="009246B2" w:rsidP="00065E40">
      <w:pPr>
        <w:pStyle w:val="BodyText"/>
        <w:spacing w:before="39"/>
        <w:rPr>
          <w:u w:val="single"/>
          <w:lang w:val="en-GB"/>
        </w:rPr>
      </w:pPr>
    </w:p>
    <w:p w14:paraId="26477778" w14:textId="04F2A7AA" w:rsidR="00AD14BB" w:rsidRPr="00E5701A" w:rsidRDefault="00ED6714" w:rsidP="00065E40">
      <w:pPr>
        <w:pStyle w:val="BodyText"/>
        <w:keepNext/>
        <w:keepLines/>
        <w:spacing w:before="39"/>
        <w:rPr>
          <w:lang w:val="en-GB"/>
        </w:rPr>
      </w:pPr>
      <w:r w:rsidRPr="00E5701A">
        <w:rPr>
          <w:u w:val="single"/>
          <w:lang w:val="en-GB"/>
        </w:rPr>
        <w:t>Application of performance criteria</w:t>
      </w:r>
    </w:p>
    <w:p w14:paraId="1EBF0379" w14:textId="77777777" w:rsidR="00AD14BB" w:rsidRPr="00E5701A" w:rsidRDefault="00AD14BB" w:rsidP="00065E40">
      <w:pPr>
        <w:pStyle w:val="BodyText"/>
        <w:keepNext/>
        <w:keepLines/>
        <w:spacing w:before="3"/>
        <w:rPr>
          <w:sz w:val="18"/>
          <w:lang w:val="en-GB"/>
        </w:rPr>
      </w:pPr>
    </w:p>
    <w:p w14:paraId="7135D7F0" w14:textId="6D2785B0" w:rsidR="00AD14BB" w:rsidRPr="00E5701A" w:rsidRDefault="00ED6714" w:rsidP="00065E40">
      <w:pPr>
        <w:pStyle w:val="BodyText"/>
        <w:keepNext/>
        <w:keepLines/>
        <w:spacing w:before="59"/>
        <w:ind w:right="600"/>
        <w:rPr>
          <w:sz w:val="22"/>
          <w:lang w:val="en-GB"/>
        </w:rPr>
      </w:pPr>
      <w:r w:rsidRPr="00E5701A">
        <w:rPr>
          <w:lang w:val="en-GB"/>
        </w:rPr>
        <w:t xml:space="preserve">The performance measures for the CEO’s variable remuneration have been selected to deliver the company’s strategy and to encourage behaviour which is in the long-term interest of the company. In the selection of performance measures, the strategic objectives and short-term and long-term business priorities have been </w:t>
      </w:r>
      <w:proofErr w:type="gramStart"/>
      <w:r w:rsidRPr="00E5701A">
        <w:rPr>
          <w:lang w:val="en-GB"/>
        </w:rPr>
        <w:t>taken into account</w:t>
      </w:r>
      <w:proofErr w:type="gramEnd"/>
      <w:r w:rsidRPr="00E5701A">
        <w:rPr>
          <w:lang w:val="en-GB"/>
        </w:rPr>
        <w:t>. The non-financial performance measures further contribute to alignment with the company’s strategic and sustainability targets as well as the company values.</w:t>
      </w:r>
    </w:p>
    <w:p w14:paraId="4CBB441C" w14:textId="4730D4D7" w:rsidR="001A17C9" w:rsidRPr="00E5701A" w:rsidRDefault="001A17C9" w:rsidP="00065E40">
      <w:pPr>
        <w:pStyle w:val="BodyText"/>
        <w:spacing w:before="10"/>
        <w:rPr>
          <w:sz w:val="22"/>
          <w:lang w:val="en-GB"/>
        </w:rPr>
      </w:pPr>
    </w:p>
    <w:p w14:paraId="39AA12B1" w14:textId="2040A24E" w:rsidR="00AD14BB" w:rsidRPr="00E5701A" w:rsidRDefault="00100805" w:rsidP="00065E40">
      <w:pPr>
        <w:pStyle w:val="Heading1"/>
        <w:keepNext/>
        <w:keepLines/>
        <w:ind w:left="0"/>
        <w:rPr>
          <w:u w:val="none"/>
          <w:lang w:val="en-GB"/>
        </w:rPr>
      </w:pPr>
      <w:r w:rsidRPr="00E5701A">
        <w:rPr>
          <w:lang w:val="en-GB"/>
        </w:rPr>
        <w:lastRenderedPageBreak/>
        <w:t>Short Term Incentive, STI</w:t>
      </w:r>
    </w:p>
    <w:p w14:paraId="4C9BD78F" w14:textId="77777777" w:rsidR="00AD14BB" w:rsidRPr="00E5701A" w:rsidRDefault="00AD14BB" w:rsidP="00065E40">
      <w:pPr>
        <w:pStyle w:val="BodyText"/>
        <w:keepNext/>
        <w:keepLines/>
        <w:spacing w:before="3"/>
        <w:rPr>
          <w:b/>
          <w:sz w:val="18"/>
          <w:lang w:val="en-GB"/>
        </w:rPr>
      </w:pPr>
    </w:p>
    <w:p w14:paraId="11A958D3" w14:textId="7ED02FA8" w:rsidR="00AD14BB" w:rsidRPr="00E5701A" w:rsidRDefault="00ED6714" w:rsidP="00065E40">
      <w:pPr>
        <w:pStyle w:val="BodyText"/>
        <w:keepNext/>
        <w:keepLines/>
        <w:spacing w:before="59"/>
        <w:ind w:right="722"/>
        <w:rPr>
          <w:lang w:val="en-GB"/>
        </w:rPr>
      </w:pPr>
      <w:r w:rsidRPr="00E5701A">
        <w:rPr>
          <w:lang w:val="en-GB"/>
        </w:rPr>
        <w:t xml:space="preserve">In addition to basic salary, senior management are to qualify for STI for performance that exceeds one or several predetermined performance levels during a financial year, designed to promote the company’s long-term value creation. Clearly defined performance targets are to be decided annually by the Board or by individuals elected by the Board. The performance targets may be connected to operational, </w:t>
      </w:r>
      <w:proofErr w:type="gramStart"/>
      <w:r w:rsidRPr="00E5701A">
        <w:rPr>
          <w:lang w:val="en-GB"/>
        </w:rPr>
        <w:t>financial</w:t>
      </w:r>
      <w:proofErr w:type="gramEnd"/>
      <w:r w:rsidRPr="00E5701A">
        <w:rPr>
          <w:lang w:val="en-GB"/>
        </w:rPr>
        <w:t xml:space="preserve"> or personal results. Remuneration from the STI programme is subject to a ceiling, which means that Clas Ohlson AB can calculate maximum remuneration levels from the beginning. Insofar as performance does not match the lowest performance level, no STI will be paid. STI will depend on the position held and may not exceed 60 per cent of the total annual fixed basic salary if the ceiling is achieved, which also represents the maximum outcome of STI.</w:t>
      </w:r>
    </w:p>
    <w:p w14:paraId="28C16242" w14:textId="763F094F" w:rsidR="00AD14BB" w:rsidRPr="00E5701A" w:rsidRDefault="00AD14BB" w:rsidP="00065E40">
      <w:pPr>
        <w:pStyle w:val="BodyText"/>
        <w:spacing w:before="10"/>
        <w:rPr>
          <w:sz w:val="22"/>
          <w:lang w:val="en-GB"/>
        </w:rPr>
      </w:pPr>
    </w:p>
    <w:p w14:paraId="1DE33C05" w14:textId="13C1330D" w:rsidR="00AD14BB" w:rsidRPr="00E5701A" w:rsidRDefault="00ED6714" w:rsidP="00065E40">
      <w:pPr>
        <w:pStyle w:val="Heading1"/>
        <w:ind w:left="0"/>
        <w:rPr>
          <w:u w:val="none"/>
          <w:lang w:val="en-GB"/>
        </w:rPr>
      </w:pPr>
      <w:r w:rsidRPr="00E5701A">
        <w:rPr>
          <w:u w:val="none"/>
          <w:lang w:val="en-GB"/>
        </w:rPr>
        <w:t>Table 2 – Performance of the CEO in the reported financial year: Short Term Incentive</w:t>
      </w:r>
    </w:p>
    <w:p w14:paraId="31824E94" w14:textId="77777777" w:rsidR="00AD14BB" w:rsidRPr="00E5701A" w:rsidRDefault="00AD14BB" w:rsidP="00065E40">
      <w:pPr>
        <w:pStyle w:val="BodyText"/>
        <w:spacing w:before="11"/>
        <w:rPr>
          <w:b/>
          <w:sz w:val="22"/>
          <w:lang w:val="en-GB"/>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51"/>
        <w:gridCol w:w="2593"/>
        <w:gridCol w:w="1495"/>
        <w:gridCol w:w="1899"/>
      </w:tblGrid>
      <w:tr w:rsidR="00AD14BB" w:rsidRPr="00E5701A" w14:paraId="6A66C3D7" w14:textId="77777777" w:rsidTr="00065E40">
        <w:trPr>
          <w:trHeight w:val="246"/>
        </w:trPr>
        <w:tc>
          <w:tcPr>
            <w:tcW w:w="1251" w:type="dxa"/>
            <w:vMerge w:val="restart"/>
            <w:vAlign w:val="center"/>
          </w:tcPr>
          <w:p w14:paraId="5ECBF981" w14:textId="01C98B3D" w:rsidR="00AD14BB" w:rsidRPr="00E5701A" w:rsidRDefault="00ED6714" w:rsidP="00065E40">
            <w:pPr>
              <w:pStyle w:val="TableParagraph"/>
              <w:ind w:left="133"/>
              <w:rPr>
                <w:b/>
                <w:sz w:val="14"/>
                <w:lang w:val="en-GB"/>
              </w:rPr>
            </w:pPr>
            <w:r w:rsidRPr="00E5701A">
              <w:rPr>
                <w:b/>
                <w:bCs/>
                <w:sz w:val="14"/>
                <w:lang w:val="en-GB"/>
              </w:rPr>
              <w:t>Name</w:t>
            </w:r>
          </w:p>
        </w:tc>
        <w:tc>
          <w:tcPr>
            <w:tcW w:w="2593" w:type="dxa"/>
            <w:vMerge w:val="restart"/>
            <w:vAlign w:val="center"/>
          </w:tcPr>
          <w:p w14:paraId="092C3C1E" w14:textId="7D108C5C" w:rsidR="00AD14BB" w:rsidRPr="00E5701A" w:rsidRDefault="00ED6714" w:rsidP="00065E40">
            <w:pPr>
              <w:pStyle w:val="TableParagraph"/>
              <w:spacing w:before="1"/>
              <w:ind w:left="153" w:right="663"/>
              <w:rPr>
                <w:b/>
                <w:sz w:val="14"/>
                <w:lang w:val="en-GB"/>
              </w:rPr>
            </w:pPr>
            <w:r w:rsidRPr="00E5701A">
              <w:rPr>
                <w:b/>
                <w:bCs/>
                <w:sz w:val="14"/>
                <w:lang w:val="en-GB"/>
              </w:rPr>
              <w:t>Description of performance criteria</w:t>
            </w:r>
          </w:p>
        </w:tc>
        <w:tc>
          <w:tcPr>
            <w:tcW w:w="1495" w:type="dxa"/>
            <w:vMerge w:val="restart"/>
            <w:vAlign w:val="center"/>
          </w:tcPr>
          <w:p w14:paraId="1E127772" w14:textId="77777777" w:rsidR="00AD14BB" w:rsidRPr="00E5701A" w:rsidRDefault="00ED6714" w:rsidP="00065E40">
            <w:pPr>
              <w:pStyle w:val="TableParagraph"/>
              <w:spacing w:before="1"/>
              <w:ind w:left="120"/>
              <w:rPr>
                <w:b/>
                <w:sz w:val="14"/>
                <w:lang w:val="en-GB"/>
              </w:rPr>
            </w:pPr>
            <w:r w:rsidRPr="00E5701A">
              <w:rPr>
                <w:b/>
                <w:bCs/>
                <w:sz w:val="14"/>
                <w:lang w:val="en-GB"/>
              </w:rPr>
              <w:t>Weighting of performance criteria</w:t>
            </w:r>
          </w:p>
        </w:tc>
        <w:tc>
          <w:tcPr>
            <w:tcW w:w="1899" w:type="dxa"/>
            <w:tcBorders>
              <w:bottom w:val="nil"/>
            </w:tcBorders>
            <w:vAlign w:val="center"/>
          </w:tcPr>
          <w:p w14:paraId="457D13A0" w14:textId="6AE29D88" w:rsidR="00AD14BB" w:rsidRPr="00E5701A" w:rsidRDefault="00ED6714" w:rsidP="00065E40">
            <w:pPr>
              <w:pStyle w:val="TableParagraph"/>
              <w:spacing w:before="17"/>
              <w:ind w:left="185"/>
              <w:rPr>
                <w:b/>
                <w:sz w:val="14"/>
                <w:lang w:val="en-GB"/>
              </w:rPr>
            </w:pPr>
            <w:r w:rsidRPr="00E5701A">
              <w:rPr>
                <w:b/>
                <w:bCs/>
                <w:sz w:val="14"/>
                <w:lang w:val="en-GB"/>
              </w:rPr>
              <w:t>a. Target achieved</w:t>
            </w:r>
          </w:p>
        </w:tc>
      </w:tr>
      <w:tr w:rsidR="0095238B" w:rsidRPr="00E5701A" w14:paraId="1AABFC67" w14:textId="77777777" w:rsidTr="00065E40">
        <w:trPr>
          <w:trHeight w:val="112"/>
        </w:trPr>
        <w:tc>
          <w:tcPr>
            <w:tcW w:w="1251" w:type="dxa"/>
            <w:vMerge/>
            <w:tcBorders>
              <w:top w:val="nil"/>
            </w:tcBorders>
            <w:vAlign w:val="center"/>
          </w:tcPr>
          <w:p w14:paraId="0374080B" w14:textId="77777777" w:rsidR="0095238B" w:rsidRPr="00E5701A" w:rsidRDefault="0095238B" w:rsidP="00065E40">
            <w:pPr>
              <w:ind w:left="133"/>
              <w:rPr>
                <w:sz w:val="2"/>
                <w:szCs w:val="2"/>
                <w:lang w:val="en-GB"/>
              </w:rPr>
            </w:pPr>
          </w:p>
        </w:tc>
        <w:tc>
          <w:tcPr>
            <w:tcW w:w="2593" w:type="dxa"/>
            <w:vMerge/>
            <w:tcBorders>
              <w:top w:val="nil"/>
            </w:tcBorders>
            <w:vAlign w:val="center"/>
          </w:tcPr>
          <w:p w14:paraId="156547EB" w14:textId="77777777" w:rsidR="0095238B" w:rsidRPr="00E5701A" w:rsidRDefault="0095238B" w:rsidP="00065E40">
            <w:pPr>
              <w:ind w:left="153"/>
              <w:rPr>
                <w:sz w:val="2"/>
                <w:szCs w:val="2"/>
                <w:lang w:val="en-GB"/>
              </w:rPr>
            </w:pPr>
          </w:p>
        </w:tc>
        <w:tc>
          <w:tcPr>
            <w:tcW w:w="1495" w:type="dxa"/>
            <w:vMerge/>
            <w:tcBorders>
              <w:top w:val="nil"/>
            </w:tcBorders>
            <w:vAlign w:val="center"/>
          </w:tcPr>
          <w:p w14:paraId="6984C581" w14:textId="77777777" w:rsidR="0095238B" w:rsidRPr="00E5701A" w:rsidRDefault="0095238B" w:rsidP="00065E40">
            <w:pPr>
              <w:rPr>
                <w:sz w:val="2"/>
                <w:szCs w:val="2"/>
                <w:lang w:val="en-GB"/>
              </w:rPr>
            </w:pPr>
          </w:p>
        </w:tc>
        <w:tc>
          <w:tcPr>
            <w:tcW w:w="1899" w:type="dxa"/>
            <w:tcBorders>
              <w:top w:val="nil"/>
            </w:tcBorders>
            <w:vAlign w:val="center"/>
          </w:tcPr>
          <w:p w14:paraId="2599DC7A" w14:textId="4AE4610D" w:rsidR="0095238B" w:rsidRPr="00E5701A" w:rsidRDefault="0095238B" w:rsidP="00065E40">
            <w:pPr>
              <w:pStyle w:val="TableParagraph"/>
              <w:spacing w:before="82" w:after="120"/>
              <w:ind w:left="185"/>
              <w:rPr>
                <w:b/>
                <w:sz w:val="14"/>
                <w:lang w:val="en-GB"/>
              </w:rPr>
            </w:pPr>
            <w:r w:rsidRPr="00E5701A">
              <w:rPr>
                <w:b/>
                <w:bCs/>
                <w:sz w:val="14"/>
                <w:lang w:val="en-GB"/>
              </w:rPr>
              <w:t>b. Total outcome</w:t>
            </w:r>
          </w:p>
        </w:tc>
      </w:tr>
      <w:tr w:rsidR="00AD14BB" w:rsidRPr="00E5701A" w14:paraId="57FB9824" w14:textId="77777777" w:rsidTr="00065E40">
        <w:trPr>
          <w:trHeight w:val="288"/>
        </w:trPr>
        <w:tc>
          <w:tcPr>
            <w:tcW w:w="1251" w:type="dxa"/>
            <w:vMerge w:val="restart"/>
            <w:vAlign w:val="center"/>
          </w:tcPr>
          <w:p w14:paraId="09E1EF5B" w14:textId="3CD8B771" w:rsidR="00AD14BB" w:rsidRPr="00E5701A" w:rsidRDefault="006A0A62" w:rsidP="00065E40">
            <w:pPr>
              <w:pStyle w:val="TableParagraph"/>
              <w:spacing w:before="106"/>
              <w:ind w:left="133" w:right="386"/>
              <w:rPr>
                <w:b/>
                <w:sz w:val="14"/>
                <w:lang w:val="en-GB"/>
              </w:rPr>
            </w:pPr>
            <w:r w:rsidRPr="00E5701A">
              <w:rPr>
                <w:b/>
                <w:bCs/>
                <w:sz w:val="14"/>
                <w:lang w:val="en-GB"/>
              </w:rPr>
              <w:t xml:space="preserve">Kristofer </w:t>
            </w:r>
            <w:r w:rsidRPr="00E5701A">
              <w:rPr>
                <w:sz w:val="14"/>
                <w:lang w:val="en-GB"/>
              </w:rPr>
              <w:br/>
            </w:r>
            <w:r w:rsidRPr="00E5701A">
              <w:rPr>
                <w:b/>
                <w:bCs/>
                <w:sz w:val="14"/>
                <w:lang w:val="en-GB"/>
              </w:rPr>
              <w:t>Tonström</w:t>
            </w:r>
          </w:p>
        </w:tc>
        <w:tc>
          <w:tcPr>
            <w:tcW w:w="2593" w:type="dxa"/>
            <w:vMerge w:val="restart"/>
            <w:vAlign w:val="center"/>
          </w:tcPr>
          <w:p w14:paraId="3BA82B55" w14:textId="75D0264D" w:rsidR="00AD14BB" w:rsidRPr="00E5701A" w:rsidRDefault="00630C25" w:rsidP="00065E40">
            <w:pPr>
              <w:pStyle w:val="TableParagraph"/>
              <w:spacing w:before="17"/>
              <w:ind w:left="153"/>
              <w:rPr>
                <w:sz w:val="14"/>
                <w:lang w:val="en-GB"/>
              </w:rPr>
            </w:pPr>
            <w:r w:rsidRPr="00E5701A">
              <w:rPr>
                <w:sz w:val="14"/>
                <w:lang w:val="en-GB"/>
              </w:rPr>
              <w:t>EBIT (MSEK) pre IFRS 16 Adjustment</w:t>
            </w:r>
          </w:p>
        </w:tc>
        <w:tc>
          <w:tcPr>
            <w:tcW w:w="1495" w:type="dxa"/>
            <w:vMerge w:val="restart"/>
            <w:vAlign w:val="center"/>
          </w:tcPr>
          <w:p w14:paraId="3D933B57" w14:textId="0023405E" w:rsidR="00AD14BB" w:rsidRPr="00E5701A" w:rsidRDefault="00862FBC" w:rsidP="00065E40">
            <w:pPr>
              <w:pStyle w:val="TableParagraph"/>
              <w:spacing w:before="17"/>
              <w:ind w:right="93"/>
              <w:jc w:val="center"/>
              <w:rPr>
                <w:sz w:val="14"/>
                <w:lang w:val="en-GB"/>
              </w:rPr>
            </w:pPr>
            <w:r w:rsidRPr="00E5701A">
              <w:rPr>
                <w:sz w:val="14"/>
                <w:lang w:val="en-GB"/>
              </w:rPr>
              <w:t>40%</w:t>
            </w:r>
          </w:p>
        </w:tc>
        <w:tc>
          <w:tcPr>
            <w:tcW w:w="1899" w:type="dxa"/>
            <w:tcBorders>
              <w:bottom w:val="nil"/>
            </w:tcBorders>
          </w:tcPr>
          <w:p w14:paraId="54583BD1" w14:textId="505548C8" w:rsidR="00AD14BB" w:rsidRPr="00E5701A" w:rsidRDefault="00ED6714" w:rsidP="00065E40">
            <w:pPr>
              <w:pStyle w:val="TableParagraph"/>
              <w:spacing w:before="60" w:line="168" w:lineRule="exact"/>
              <w:ind w:left="185"/>
              <w:rPr>
                <w:sz w:val="14"/>
                <w:highlight w:val="yellow"/>
                <w:lang w:val="en-GB"/>
              </w:rPr>
            </w:pPr>
            <w:r w:rsidRPr="00E5701A">
              <w:rPr>
                <w:sz w:val="14"/>
                <w:lang w:val="en-GB"/>
              </w:rPr>
              <w:t>a. MSEK 646</w:t>
            </w:r>
          </w:p>
        </w:tc>
      </w:tr>
      <w:tr w:rsidR="00AD14BB" w:rsidRPr="00E5701A" w14:paraId="262F06BC" w14:textId="77777777" w:rsidTr="00561FE2">
        <w:trPr>
          <w:trHeight w:val="264"/>
        </w:trPr>
        <w:tc>
          <w:tcPr>
            <w:tcW w:w="1251" w:type="dxa"/>
            <w:vMerge/>
            <w:tcBorders>
              <w:top w:val="nil"/>
            </w:tcBorders>
            <w:vAlign w:val="center"/>
          </w:tcPr>
          <w:p w14:paraId="6A088766" w14:textId="77777777" w:rsidR="00AD14BB" w:rsidRPr="00E5701A" w:rsidRDefault="00AD14BB" w:rsidP="00065E40">
            <w:pPr>
              <w:ind w:left="133"/>
              <w:rPr>
                <w:sz w:val="2"/>
                <w:szCs w:val="2"/>
                <w:lang w:val="en-GB"/>
              </w:rPr>
            </w:pPr>
          </w:p>
        </w:tc>
        <w:tc>
          <w:tcPr>
            <w:tcW w:w="2593" w:type="dxa"/>
            <w:vMerge/>
            <w:tcBorders>
              <w:top w:val="nil"/>
            </w:tcBorders>
            <w:vAlign w:val="center"/>
          </w:tcPr>
          <w:p w14:paraId="643F4A97" w14:textId="77777777" w:rsidR="00AD14BB" w:rsidRPr="00E5701A" w:rsidRDefault="00AD14BB" w:rsidP="00065E40">
            <w:pPr>
              <w:ind w:left="153"/>
              <w:rPr>
                <w:sz w:val="2"/>
                <w:szCs w:val="2"/>
                <w:lang w:val="en-GB"/>
              </w:rPr>
            </w:pPr>
          </w:p>
        </w:tc>
        <w:tc>
          <w:tcPr>
            <w:tcW w:w="1495" w:type="dxa"/>
            <w:vMerge/>
            <w:tcBorders>
              <w:top w:val="nil"/>
            </w:tcBorders>
            <w:vAlign w:val="center"/>
          </w:tcPr>
          <w:p w14:paraId="6B1D6A54" w14:textId="77777777" w:rsidR="00AD14BB" w:rsidRPr="00E5701A" w:rsidRDefault="00AD14BB" w:rsidP="00065E40">
            <w:pPr>
              <w:jc w:val="center"/>
              <w:rPr>
                <w:sz w:val="2"/>
                <w:szCs w:val="2"/>
                <w:lang w:val="en-GB"/>
              </w:rPr>
            </w:pPr>
          </w:p>
        </w:tc>
        <w:tc>
          <w:tcPr>
            <w:tcW w:w="1899" w:type="dxa"/>
            <w:tcBorders>
              <w:top w:val="nil"/>
            </w:tcBorders>
          </w:tcPr>
          <w:p w14:paraId="628512CC" w14:textId="1442BF78" w:rsidR="00AD14BB" w:rsidRPr="00E5701A" w:rsidRDefault="00FE6851" w:rsidP="00065E40">
            <w:pPr>
              <w:pStyle w:val="TableParagraph"/>
              <w:spacing w:before="60" w:line="145" w:lineRule="exact"/>
              <w:ind w:left="185"/>
              <w:rPr>
                <w:sz w:val="14"/>
                <w:highlight w:val="yellow"/>
                <w:lang w:val="en-GB"/>
              </w:rPr>
            </w:pPr>
            <w:r w:rsidRPr="00E5701A">
              <w:rPr>
                <w:sz w:val="14"/>
                <w:lang w:val="en-GB"/>
              </w:rPr>
              <w:t>b. 1,728 kSEK</w:t>
            </w:r>
          </w:p>
        </w:tc>
      </w:tr>
      <w:tr w:rsidR="00862FBC" w:rsidRPr="00E5701A" w14:paraId="415ED451" w14:textId="77777777" w:rsidTr="00065E40">
        <w:trPr>
          <w:trHeight w:val="217"/>
        </w:trPr>
        <w:tc>
          <w:tcPr>
            <w:tcW w:w="1251" w:type="dxa"/>
            <w:vMerge/>
            <w:tcBorders>
              <w:top w:val="nil"/>
            </w:tcBorders>
            <w:vAlign w:val="center"/>
          </w:tcPr>
          <w:p w14:paraId="3E69FBD5" w14:textId="77777777" w:rsidR="00862FBC" w:rsidRPr="00E5701A" w:rsidRDefault="00862FBC" w:rsidP="00862FBC">
            <w:pPr>
              <w:ind w:left="133"/>
              <w:rPr>
                <w:sz w:val="2"/>
                <w:szCs w:val="2"/>
                <w:lang w:val="en-GB"/>
              </w:rPr>
            </w:pPr>
          </w:p>
        </w:tc>
        <w:tc>
          <w:tcPr>
            <w:tcW w:w="2593" w:type="dxa"/>
            <w:vMerge w:val="restart"/>
            <w:vAlign w:val="center"/>
          </w:tcPr>
          <w:p w14:paraId="47C80D91" w14:textId="01D28898" w:rsidR="00862FBC" w:rsidRPr="00E5701A" w:rsidRDefault="00862FBC" w:rsidP="00862FBC">
            <w:pPr>
              <w:pStyle w:val="TableParagraph"/>
              <w:spacing w:before="1" w:line="151" w:lineRule="exact"/>
              <w:ind w:left="153"/>
              <w:rPr>
                <w:spacing w:val="-2"/>
                <w:sz w:val="14"/>
                <w:lang w:val="en-GB"/>
              </w:rPr>
            </w:pPr>
            <w:r w:rsidRPr="00E5701A">
              <w:rPr>
                <w:sz w:val="14"/>
                <w:lang w:val="en-GB"/>
              </w:rPr>
              <w:t>Total Organic Growth (percent) in local currencies</w:t>
            </w:r>
          </w:p>
        </w:tc>
        <w:tc>
          <w:tcPr>
            <w:tcW w:w="1495" w:type="dxa"/>
            <w:vMerge w:val="restart"/>
            <w:vAlign w:val="center"/>
          </w:tcPr>
          <w:p w14:paraId="7DA11498" w14:textId="04CED570" w:rsidR="00862FBC" w:rsidRPr="00E5701A" w:rsidRDefault="00862FBC" w:rsidP="00862FBC">
            <w:pPr>
              <w:pStyle w:val="TableParagraph"/>
              <w:spacing w:before="85" w:line="151" w:lineRule="exact"/>
              <w:ind w:right="93"/>
              <w:jc w:val="center"/>
              <w:rPr>
                <w:sz w:val="14"/>
                <w:lang w:val="en-GB"/>
              </w:rPr>
            </w:pPr>
            <w:r w:rsidRPr="00E5701A">
              <w:rPr>
                <w:sz w:val="14"/>
                <w:lang w:val="en-GB"/>
              </w:rPr>
              <w:t>30%</w:t>
            </w:r>
          </w:p>
        </w:tc>
        <w:tc>
          <w:tcPr>
            <w:tcW w:w="1899" w:type="dxa"/>
            <w:tcBorders>
              <w:bottom w:val="nil"/>
            </w:tcBorders>
          </w:tcPr>
          <w:p w14:paraId="27A007FA" w14:textId="2FD1DB02" w:rsidR="00862FBC" w:rsidRPr="00E5701A" w:rsidRDefault="00862FBC" w:rsidP="00862FBC">
            <w:pPr>
              <w:pStyle w:val="TableParagraph"/>
              <w:spacing w:before="60"/>
              <w:ind w:left="185"/>
              <w:rPr>
                <w:sz w:val="14"/>
                <w:highlight w:val="yellow"/>
                <w:lang w:val="en-GB"/>
              </w:rPr>
            </w:pPr>
            <w:r w:rsidRPr="00E5701A">
              <w:rPr>
                <w:sz w:val="14"/>
                <w:lang w:val="en-GB"/>
              </w:rPr>
              <w:t>a. 11%</w:t>
            </w:r>
          </w:p>
        </w:tc>
      </w:tr>
      <w:tr w:rsidR="00862FBC" w:rsidRPr="00E5701A" w14:paraId="50BD4C8E" w14:textId="77777777" w:rsidTr="00065E40">
        <w:trPr>
          <w:trHeight w:val="444"/>
        </w:trPr>
        <w:tc>
          <w:tcPr>
            <w:tcW w:w="1251" w:type="dxa"/>
            <w:vMerge/>
            <w:tcBorders>
              <w:top w:val="nil"/>
            </w:tcBorders>
            <w:vAlign w:val="center"/>
          </w:tcPr>
          <w:p w14:paraId="6E0400BD" w14:textId="77777777" w:rsidR="00862FBC" w:rsidRPr="00E5701A" w:rsidRDefault="00862FBC" w:rsidP="00862FBC">
            <w:pPr>
              <w:ind w:left="133"/>
              <w:rPr>
                <w:sz w:val="2"/>
                <w:szCs w:val="2"/>
                <w:lang w:val="en-GB"/>
              </w:rPr>
            </w:pPr>
          </w:p>
        </w:tc>
        <w:tc>
          <w:tcPr>
            <w:tcW w:w="2593" w:type="dxa"/>
            <w:vMerge/>
            <w:tcBorders>
              <w:top w:val="nil"/>
            </w:tcBorders>
            <w:vAlign w:val="center"/>
          </w:tcPr>
          <w:p w14:paraId="2A9D4048" w14:textId="77777777" w:rsidR="00862FBC" w:rsidRPr="00E5701A" w:rsidRDefault="00862FBC" w:rsidP="00862FBC">
            <w:pPr>
              <w:ind w:left="153"/>
              <w:rPr>
                <w:sz w:val="2"/>
                <w:szCs w:val="2"/>
                <w:lang w:val="en-GB"/>
              </w:rPr>
            </w:pPr>
          </w:p>
        </w:tc>
        <w:tc>
          <w:tcPr>
            <w:tcW w:w="1495" w:type="dxa"/>
            <w:vMerge/>
            <w:tcBorders>
              <w:top w:val="nil"/>
            </w:tcBorders>
            <w:vAlign w:val="center"/>
          </w:tcPr>
          <w:p w14:paraId="6DB7DA1A" w14:textId="77777777" w:rsidR="00862FBC" w:rsidRPr="00E5701A" w:rsidRDefault="00862FBC" w:rsidP="00862FBC">
            <w:pPr>
              <w:jc w:val="center"/>
              <w:rPr>
                <w:sz w:val="2"/>
                <w:szCs w:val="2"/>
                <w:lang w:val="en-GB"/>
              </w:rPr>
            </w:pPr>
          </w:p>
        </w:tc>
        <w:tc>
          <w:tcPr>
            <w:tcW w:w="1899" w:type="dxa"/>
            <w:tcBorders>
              <w:top w:val="nil"/>
            </w:tcBorders>
          </w:tcPr>
          <w:p w14:paraId="787C39AB" w14:textId="21660150" w:rsidR="00862FBC" w:rsidRPr="00E5701A" w:rsidRDefault="00862FBC" w:rsidP="00862FBC">
            <w:pPr>
              <w:pStyle w:val="TableParagraph"/>
              <w:spacing w:before="60" w:line="151" w:lineRule="exact"/>
              <w:ind w:left="185"/>
              <w:rPr>
                <w:sz w:val="14"/>
                <w:lang w:val="en-GB"/>
              </w:rPr>
            </w:pPr>
            <w:r w:rsidRPr="00E5701A">
              <w:rPr>
                <w:sz w:val="14"/>
                <w:lang w:val="en-GB"/>
              </w:rPr>
              <w:t>b. 1,296 kSEK</w:t>
            </w:r>
          </w:p>
        </w:tc>
      </w:tr>
      <w:tr w:rsidR="009A2FC5" w:rsidRPr="00E5701A" w14:paraId="2923E19D" w14:textId="77777777" w:rsidTr="00065E40">
        <w:trPr>
          <w:trHeight w:val="210"/>
        </w:trPr>
        <w:tc>
          <w:tcPr>
            <w:tcW w:w="1251" w:type="dxa"/>
            <w:vMerge w:val="restart"/>
            <w:vAlign w:val="center"/>
          </w:tcPr>
          <w:p w14:paraId="09965676" w14:textId="77777777" w:rsidR="006A0A62" w:rsidRPr="00E5701A" w:rsidRDefault="006A0A62" w:rsidP="00065E40">
            <w:pPr>
              <w:pStyle w:val="TableParagraph"/>
              <w:ind w:left="133" w:right="77"/>
              <w:rPr>
                <w:b/>
                <w:sz w:val="14"/>
                <w:lang w:val="en-GB"/>
              </w:rPr>
            </w:pPr>
            <w:r w:rsidRPr="00E5701A">
              <w:rPr>
                <w:b/>
                <w:bCs/>
                <w:sz w:val="14"/>
                <w:lang w:val="en-GB"/>
              </w:rPr>
              <w:t xml:space="preserve">Kristofer </w:t>
            </w:r>
          </w:p>
          <w:p w14:paraId="643F2C93" w14:textId="677FAD61" w:rsidR="009A2FC5" w:rsidRPr="00E5701A" w:rsidRDefault="006A0A62" w:rsidP="00065E40">
            <w:pPr>
              <w:pStyle w:val="TableParagraph"/>
              <w:ind w:left="133" w:right="77"/>
              <w:rPr>
                <w:b/>
                <w:sz w:val="14"/>
                <w:lang w:val="en-GB"/>
              </w:rPr>
            </w:pPr>
            <w:r w:rsidRPr="00E5701A">
              <w:rPr>
                <w:b/>
                <w:bCs/>
                <w:sz w:val="14"/>
                <w:lang w:val="en-GB"/>
              </w:rPr>
              <w:t>Tonström</w:t>
            </w:r>
          </w:p>
        </w:tc>
        <w:tc>
          <w:tcPr>
            <w:tcW w:w="2593" w:type="dxa"/>
            <w:tcBorders>
              <w:bottom w:val="nil"/>
            </w:tcBorders>
            <w:vAlign w:val="center"/>
          </w:tcPr>
          <w:p w14:paraId="669DEA47" w14:textId="513A0EFA" w:rsidR="009A2FC5" w:rsidRPr="00E5701A" w:rsidRDefault="009A2FC5" w:rsidP="00065E40">
            <w:pPr>
              <w:pStyle w:val="TableParagraph"/>
              <w:spacing w:before="120"/>
              <w:ind w:left="153" w:right="108"/>
              <w:rPr>
                <w:sz w:val="14"/>
                <w:lang w:val="en-GB"/>
              </w:rPr>
            </w:pPr>
            <w:r w:rsidRPr="00E5701A">
              <w:rPr>
                <w:sz w:val="14"/>
                <w:lang w:val="en-GB"/>
              </w:rPr>
              <w:t>Qualitative target; (scale 1–5)</w:t>
            </w:r>
          </w:p>
        </w:tc>
        <w:tc>
          <w:tcPr>
            <w:tcW w:w="1495" w:type="dxa"/>
            <w:vMerge w:val="restart"/>
            <w:vAlign w:val="center"/>
          </w:tcPr>
          <w:p w14:paraId="76509E2D" w14:textId="614D2583" w:rsidR="009A2FC5" w:rsidRPr="00E5701A" w:rsidRDefault="00055635" w:rsidP="00065E40">
            <w:pPr>
              <w:pStyle w:val="TableParagraph"/>
              <w:spacing w:before="113"/>
              <w:ind w:right="93"/>
              <w:jc w:val="center"/>
              <w:rPr>
                <w:sz w:val="14"/>
                <w:lang w:val="en-GB"/>
              </w:rPr>
            </w:pPr>
            <w:r w:rsidRPr="00E5701A">
              <w:rPr>
                <w:sz w:val="14"/>
                <w:lang w:val="en-GB"/>
              </w:rPr>
              <w:t>30%</w:t>
            </w:r>
          </w:p>
        </w:tc>
        <w:tc>
          <w:tcPr>
            <w:tcW w:w="1899" w:type="dxa"/>
            <w:tcBorders>
              <w:bottom w:val="nil"/>
            </w:tcBorders>
          </w:tcPr>
          <w:p w14:paraId="0DD1151E" w14:textId="0529FC05" w:rsidR="009A2FC5" w:rsidRPr="00E5701A" w:rsidRDefault="00057CEE" w:rsidP="00561FE2">
            <w:pPr>
              <w:pStyle w:val="TableParagraph"/>
              <w:spacing w:before="60" w:line="168" w:lineRule="exact"/>
              <w:ind w:left="185"/>
              <w:rPr>
                <w:spacing w:val="-8"/>
                <w:sz w:val="14"/>
                <w:highlight w:val="yellow"/>
                <w:lang w:val="en-GB"/>
              </w:rPr>
            </w:pPr>
            <w:r w:rsidRPr="00E5701A">
              <w:rPr>
                <w:sz w:val="14"/>
                <w:lang w:val="en-GB"/>
              </w:rPr>
              <w:t xml:space="preserve">a. Equivalent to 5 </w:t>
            </w:r>
          </w:p>
        </w:tc>
      </w:tr>
      <w:tr w:rsidR="001740C2" w:rsidRPr="00E5701A" w14:paraId="79C9C243" w14:textId="77777777" w:rsidTr="00065E40">
        <w:trPr>
          <w:trHeight w:val="105"/>
        </w:trPr>
        <w:tc>
          <w:tcPr>
            <w:tcW w:w="1251" w:type="dxa"/>
            <w:vMerge/>
            <w:tcBorders>
              <w:top w:val="nil"/>
            </w:tcBorders>
            <w:vAlign w:val="center"/>
          </w:tcPr>
          <w:p w14:paraId="609302F9" w14:textId="77777777" w:rsidR="001740C2" w:rsidRPr="00E5701A" w:rsidRDefault="001740C2" w:rsidP="00065E40">
            <w:pPr>
              <w:ind w:left="133"/>
              <w:rPr>
                <w:sz w:val="2"/>
                <w:szCs w:val="2"/>
                <w:lang w:val="en-GB"/>
              </w:rPr>
            </w:pPr>
          </w:p>
        </w:tc>
        <w:tc>
          <w:tcPr>
            <w:tcW w:w="2593" w:type="dxa"/>
            <w:vMerge w:val="restart"/>
            <w:tcBorders>
              <w:top w:val="nil"/>
            </w:tcBorders>
            <w:vAlign w:val="center"/>
          </w:tcPr>
          <w:p w14:paraId="7A498B51" w14:textId="4A7C9F09" w:rsidR="001740C2" w:rsidRPr="00E5701A" w:rsidRDefault="001740C2" w:rsidP="00065E40">
            <w:pPr>
              <w:pStyle w:val="TableParagraph"/>
              <w:ind w:left="153" w:right="106"/>
              <w:rPr>
                <w:sz w:val="14"/>
                <w:lang w:val="en-GB"/>
              </w:rPr>
            </w:pPr>
            <w:r w:rsidRPr="00E5701A">
              <w:rPr>
                <w:sz w:val="14"/>
                <w:lang w:val="en-GB"/>
              </w:rPr>
              <w:t xml:space="preserve">Individual total performance including: </w:t>
            </w:r>
          </w:p>
          <w:p w14:paraId="158659C7" w14:textId="621EFB28" w:rsidR="001740C2" w:rsidRPr="00E5701A" w:rsidRDefault="001740C2" w:rsidP="00065E40">
            <w:pPr>
              <w:pStyle w:val="TableParagraph"/>
              <w:ind w:left="153" w:right="106"/>
              <w:rPr>
                <w:sz w:val="14"/>
                <w:lang w:val="en-GB"/>
              </w:rPr>
            </w:pPr>
            <w:r w:rsidRPr="00E5701A">
              <w:rPr>
                <w:sz w:val="14"/>
                <w:lang w:val="en-GB"/>
              </w:rPr>
              <w:t>(i) Delivery of Keep it simple – 100% delivery corresponding to a 5</w:t>
            </w:r>
          </w:p>
          <w:p w14:paraId="02E5FA7B" w14:textId="0B453314" w:rsidR="001740C2" w:rsidRPr="00E5701A" w:rsidRDefault="001740C2" w:rsidP="00057CEE">
            <w:pPr>
              <w:pStyle w:val="TableParagraph"/>
              <w:ind w:left="153" w:right="106"/>
              <w:rPr>
                <w:sz w:val="14"/>
                <w:lang w:val="en-GB"/>
              </w:rPr>
            </w:pPr>
            <w:r w:rsidRPr="00E5701A">
              <w:rPr>
                <w:sz w:val="14"/>
                <w:lang w:val="en-GB"/>
              </w:rPr>
              <w:t>(ii) Delivering on key initiatives in business plan 23/24</w:t>
            </w:r>
          </w:p>
        </w:tc>
        <w:tc>
          <w:tcPr>
            <w:tcW w:w="1495" w:type="dxa"/>
            <w:vMerge/>
            <w:tcBorders>
              <w:top w:val="nil"/>
            </w:tcBorders>
            <w:vAlign w:val="center"/>
          </w:tcPr>
          <w:p w14:paraId="4BC6E300" w14:textId="77777777" w:rsidR="001740C2" w:rsidRPr="00E5701A" w:rsidRDefault="001740C2" w:rsidP="00065E40">
            <w:pPr>
              <w:rPr>
                <w:sz w:val="2"/>
                <w:szCs w:val="2"/>
                <w:lang w:val="en-GB"/>
              </w:rPr>
            </w:pPr>
          </w:p>
        </w:tc>
        <w:tc>
          <w:tcPr>
            <w:tcW w:w="1899" w:type="dxa"/>
            <w:tcBorders>
              <w:top w:val="nil"/>
              <w:bottom w:val="nil"/>
            </w:tcBorders>
          </w:tcPr>
          <w:p w14:paraId="09E6E41C" w14:textId="2EAAE122" w:rsidR="001740C2" w:rsidRPr="00E5701A" w:rsidRDefault="001740C2" w:rsidP="00561FE2">
            <w:pPr>
              <w:pStyle w:val="TableParagraph"/>
              <w:spacing w:before="60" w:line="151" w:lineRule="exact"/>
              <w:ind w:left="185"/>
              <w:rPr>
                <w:sz w:val="14"/>
                <w:highlight w:val="yellow"/>
                <w:lang w:val="en-GB"/>
              </w:rPr>
            </w:pPr>
            <w:r w:rsidRPr="00E5701A">
              <w:rPr>
                <w:sz w:val="14"/>
                <w:lang w:val="en-GB"/>
              </w:rPr>
              <w:t>b. 1,296 kSEK</w:t>
            </w:r>
          </w:p>
        </w:tc>
      </w:tr>
      <w:tr w:rsidR="001740C2" w:rsidRPr="00E5701A" w14:paraId="038E3298" w14:textId="77777777" w:rsidTr="00065E40">
        <w:trPr>
          <w:trHeight w:val="646"/>
        </w:trPr>
        <w:tc>
          <w:tcPr>
            <w:tcW w:w="1251" w:type="dxa"/>
            <w:vMerge/>
            <w:tcBorders>
              <w:top w:val="nil"/>
            </w:tcBorders>
            <w:vAlign w:val="center"/>
          </w:tcPr>
          <w:p w14:paraId="4C2E781B" w14:textId="77777777" w:rsidR="001740C2" w:rsidRPr="00E5701A" w:rsidRDefault="001740C2" w:rsidP="00065E40">
            <w:pPr>
              <w:ind w:left="133"/>
              <w:rPr>
                <w:sz w:val="2"/>
                <w:szCs w:val="2"/>
                <w:lang w:val="en-GB"/>
              </w:rPr>
            </w:pPr>
          </w:p>
        </w:tc>
        <w:tc>
          <w:tcPr>
            <w:tcW w:w="2593" w:type="dxa"/>
            <w:vMerge/>
          </w:tcPr>
          <w:p w14:paraId="2DC26FB6" w14:textId="20BF0A0F" w:rsidR="001740C2" w:rsidRPr="00E5701A" w:rsidRDefault="001740C2" w:rsidP="00065E40">
            <w:pPr>
              <w:pStyle w:val="TableParagraph"/>
              <w:spacing w:before="6"/>
              <w:ind w:right="106"/>
              <w:rPr>
                <w:sz w:val="14"/>
                <w:lang w:val="en-GB"/>
              </w:rPr>
            </w:pPr>
          </w:p>
        </w:tc>
        <w:tc>
          <w:tcPr>
            <w:tcW w:w="1495" w:type="dxa"/>
            <w:vMerge/>
            <w:tcBorders>
              <w:top w:val="nil"/>
            </w:tcBorders>
            <w:vAlign w:val="center"/>
          </w:tcPr>
          <w:p w14:paraId="17447309" w14:textId="77777777" w:rsidR="001740C2" w:rsidRPr="00E5701A" w:rsidRDefault="001740C2" w:rsidP="00065E40">
            <w:pPr>
              <w:rPr>
                <w:sz w:val="2"/>
                <w:szCs w:val="2"/>
                <w:lang w:val="en-GB"/>
              </w:rPr>
            </w:pPr>
          </w:p>
        </w:tc>
        <w:tc>
          <w:tcPr>
            <w:tcW w:w="1899" w:type="dxa"/>
            <w:tcBorders>
              <w:top w:val="nil"/>
            </w:tcBorders>
            <w:vAlign w:val="center"/>
          </w:tcPr>
          <w:p w14:paraId="1F831A21" w14:textId="5B82407F" w:rsidR="001740C2" w:rsidRPr="00E5701A" w:rsidRDefault="001740C2" w:rsidP="00065E40">
            <w:pPr>
              <w:pStyle w:val="TableParagraph"/>
              <w:ind w:left="185" w:right="176"/>
              <w:rPr>
                <w:sz w:val="14"/>
                <w:lang w:val="en-GB"/>
              </w:rPr>
            </w:pPr>
          </w:p>
        </w:tc>
      </w:tr>
      <w:tr w:rsidR="009A2FC5" w:rsidRPr="00E5701A" w14:paraId="41A91C23" w14:textId="77777777" w:rsidTr="00065E40">
        <w:trPr>
          <w:trHeight w:val="198"/>
        </w:trPr>
        <w:tc>
          <w:tcPr>
            <w:tcW w:w="7238" w:type="dxa"/>
            <w:gridSpan w:val="4"/>
            <w:tcBorders>
              <w:bottom w:val="nil"/>
            </w:tcBorders>
            <w:vAlign w:val="center"/>
          </w:tcPr>
          <w:p w14:paraId="7009C3CA" w14:textId="77777777" w:rsidR="009A2FC5" w:rsidRPr="00E5701A" w:rsidRDefault="009A2FC5" w:rsidP="00065E40">
            <w:pPr>
              <w:pStyle w:val="TableParagraph"/>
              <w:spacing w:before="60" w:after="60" w:line="151" w:lineRule="exact"/>
              <w:ind w:left="133"/>
              <w:rPr>
                <w:b/>
                <w:sz w:val="14"/>
                <w:lang w:val="en-GB"/>
              </w:rPr>
            </w:pPr>
            <w:r w:rsidRPr="00E5701A">
              <w:rPr>
                <w:b/>
                <w:bCs/>
                <w:sz w:val="14"/>
                <w:lang w:val="en-GB"/>
              </w:rPr>
              <w:t>Total outcome STI</w:t>
            </w:r>
          </w:p>
        </w:tc>
      </w:tr>
      <w:tr w:rsidR="009A2FC5" w:rsidRPr="00E5701A" w14:paraId="2E374ADA" w14:textId="77777777" w:rsidTr="00065E40">
        <w:trPr>
          <w:trHeight w:val="330"/>
        </w:trPr>
        <w:tc>
          <w:tcPr>
            <w:tcW w:w="1251" w:type="dxa"/>
            <w:tcBorders>
              <w:top w:val="single" w:sz="8" w:space="0" w:color="auto"/>
              <w:bottom w:val="single" w:sz="8" w:space="0" w:color="auto"/>
              <w:right w:val="nil"/>
            </w:tcBorders>
            <w:vAlign w:val="center"/>
          </w:tcPr>
          <w:p w14:paraId="0DB8BDB6" w14:textId="77777777" w:rsidR="006A0A62" w:rsidRPr="00E5701A" w:rsidRDefault="006A0A62" w:rsidP="00065E40">
            <w:pPr>
              <w:pStyle w:val="TableParagraph"/>
              <w:spacing w:line="153" w:lineRule="exact"/>
              <w:ind w:left="133"/>
              <w:rPr>
                <w:b/>
                <w:bCs/>
                <w:sz w:val="14"/>
                <w:lang w:val="en-GB"/>
              </w:rPr>
            </w:pPr>
            <w:r w:rsidRPr="00E5701A">
              <w:rPr>
                <w:b/>
                <w:bCs/>
                <w:sz w:val="14"/>
                <w:lang w:val="en-GB"/>
              </w:rPr>
              <w:t xml:space="preserve">Kristofer </w:t>
            </w:r>
          </w:p>
          <w:p w14:paraId="26D05B2A" w14:textId="035296FC" w:rsidR="009A2FC5" w:rsidRPr="00E5701A" w:rsidRDefault="006A0A62" w:rsidP="00065E40">
            <w:pPr>
              <w:pStyle w:val="TableParagraph"/>
              <w:spacing w:line="153" w:lineRule="exact"/>
              <w:ind w:left="133"/>
              <w:rPr>
                <w:sz w:val="14"/>
                <w:lang w:val="en-GB"/>
              </w:rPr>
            </w:pPr>
            <w:r w:rsidRPr="00E5701A">
              <w:rPr>
                <w:b/>
                <w:bCs/>
                <w:sz w:val="14"/>
                <w:lang w:val="en-GB"/>
              </w:rPr>
              <w:t>Tonström</w:t>
            </w:r>
          </w:p>
        </w:tc>
        <w:tc>
          <w:tcPr>
            <w:tcW w:w="2593" w:type="dxa"/>
            <w:tcBorders>
              <w:top w:val="single" w:sz="8" w:space="0" w:color="auto"/>
              <w:left w:val="nil"/>
              <w:bottom w:val="single" w:sz="8" w:space="0" w:color="auto"/>
              <w:right w:val="nil"/>
            </w:tcBorders>
            <w:vAlign w:val="center"/>
          </w:tcPr>
          <w:p w14:paraId="22461CB9" w14:textId="77777777" w:rsidR="009A2FC5" w:rsidRPr="00E5701A" w:rsidRDefault="009A2FC5" w:rsidP="00065E40">
            <w:pPr>
              <w:pStyle w:val="TableParagraph"/>
              <w:rPr>
                <w:rFonts w:ascii="Times New Roman"/>
                <w:sz w:val="16"/>
                <w:lang w:val="en-GB"/>
              </w:rPr>
            </w:pPr>
          </w:p>
        </w:tc>
        <w:tc>
          <w:tcPr>
            <w:tcW w:w="1495" w:type="dxa"/>
            <w:tcBorders>
              <w:top w:val="single" w:sz="8" w:space="0" w:color="auto"/>
              <w:left w:val="nil"/>
              <w:bottom w:val="single" w:sz="8" w:space="0" w:color="auto"/>
              <w:right w:val="nil"/>
            </w:tcBorders>
            <w:vAlign w:val="center"/>
          </w:tcPr>
          <w:p w14:paraId="76C89D1A" w14:textId="77777777" w:rsidR="009A2FC5" w:rsidRPr="00E5701A" w:rsidRDefault="009A2FC5" w:rsidP="00065E40">
            <w:pPr>
              <w:pStyle w:val="TableParagraph"/>
              <w:rPr>
                <w:rFonts w:ascii="Times New Roman"/>
                <w:sz w:val="16"/>
                <w:lang w:val="en-GB"/>
              </w:rPr>
            </w:pPr>
          </w:p>
        </w:tc>
        <w:tc>
          <w:tcPr>
            <w:tcW w:w="1899" w:type="dxa"/>
            <w:tcBorders>
              <w:top w:val="single" w:sz="8" w:space="0" w:color="auto"/>
              <w:left w:val="nil"/>
              <w:bottom w:val="single" w:sz="8" w:space="0" w:color="auto"/>
            </w:tcBorders>
            <w:vAlign w:val="center"/>
          </w:tcPr>
          <w:p w14:paraId="71D908E6" w14:textId="2DAFE12C" w:rsidR="009A2FC5" w:rsidRPr="00E5701A" w:rsidRDefault="00055635" w:rsidP="00065E40">
            <w:pPr>
              <w:pStyle w:val="TableParagraph"/>
              <w:spacing w:line="154" w:lineRule="exact"/>
              <w:ind w:right="89"/>
              <w:jc w:val="center"/>
              <w:rPr>
                <w:b/>
                <w:bCs/>
                <w:sz w:val="14"/>
                <w:lang w:val="en-GB"/>
              </w:rPr>
            </w:pPr>
            <w:r w:rsidRPr="00E5701A">
              <w:rPr>
                <w:b/>
                <w:bCs/>
                <w:sz w:val="14"/>
                <w:lang w:val="en-GB"/>
              </w:rPr>
              <w:t>4,320 kSEK</w:t>
            </w:r>
          </w:p>
        </w:tc>
      </w:tr>
    </w:tbl>
    <w:p w14:paraId="0E018EB4" w14:textId="4E5DF10D" w:rsidR="00AD14BB" w:rsidRPr="00E5701A" w:rsidRDefault="00AD14BB" w:rsidP="00065E40">
      <w:pPr>
        <w:pStyle w:val="BodyText"/>
        <w:rPr>
          <w:b/>
          <w:lang w:val="en-GB"/>
        </w:rPr>
      </w:pPr>
    </w:p>
    <w:p w14:paraId="2FDB85E2" w14:textId="64458434" w:rsidR="00216ADE" w:rsidRPr="00E5701A" w:rsidRDefault="00216ADE" w:rsidP="00065E40">
      <w:pPr>
        <w:rPr>
          <w:u w:val="single"/>
          <w:lang w:val="en-GB"/>
        </w:rPr>
      </w:pPr>
    </w:p>
    <w:p w14:paraId="6135972C" w14:textId="28E68DD2" w:rsidR="00AD14BB" w:rsidRPr="00E5701A" w:rsidRDefault="00ED6714" w:rsidP="00065E40">
      <w:pPr>
        <w:keepNext/>
        <w:keepLines/>
        <w:spacing w:before="56"/>
        <w:rPr>
          <w:lang w:val="en-GB"/>
        </w:rPr>
      </w:pPr>
      <w:r w:rsidRPr="00E5701A">
        <w:rPr>
          <w:u w:val="single"/>
          <w:lang w:val="en-GB"/>
        </w:rPr>
        <w:t>Comparative information on the change of remuneration and company performance</w:t>
      </w:r>
    </w:p>
    <w:p w14:paraId="5FF550A5" w14:textId="77777777" w:rsidR="00AD14BB" w:rsidRPr="00E5701A" w:rsidRDefault="00ED6714" w:rsidP="00065E40">
      <w:pPr>
        <w:keepNext/>
        <w:keepLines/>
        <w:spacing w:before="58"/>
        <w:ind w:right="722"/>
        <w:rPr>
          <w:b/>
          <w:iCs/>
          <w:sz w:val="20"/>
          <w:szCs w:val="20"/>
          <w:lang w:val="en-GB"/>
        </w:rPr>
      </w:pPr>
      <w:r w:rsidRPr="00E5701A">
        <w:rPr>
          <w:b/>
          <w:bCs/>
          <w:sz w:val="20"/>
          <w:szCs w:val="20"/>
          <w:lang w:val="en-GB"/>
        </w:rPr>
        <w:t>Table 3 – Change of remuneration and company performance over the last five reported financial years (RFY) (kSEK) (excl. members of Group Management)</w:t>
      </w:r>
    </w:p>
    <w:p w14:paraId="6123A5BA" w14:textId="77777777" w:rsidR="00AD14BB" w:rsidRPr="00E5701A" w:rsidRDefault="00AD14BB" w:rsidP="00065E40">
      <w:pPr>
        <w:pStyle w:val="BodyText"/>
        <w:keepNext/>
        <w:keepLines/>
        <w:rPr>
          <w:b/>
          <w:i/>
          <w:lang w:val="en-GB"/>
        </w:rPr>
      </w:pPr>
    </w:p>
    <w:tbl>
      <w:tblPr>
        <w:tblW w:w="9671" w:type="dxa"/>
        <w:tblLayout w:type="fixed"/>
        <w:tblCellMar>
          <w:left w:w="0" w:type="dxa"/>
          <w:right w:w="0" w:type="dxa"/>
        </w:tblCellMar>
        <w:tblLook w:val="01E0" w:firstRow="1" w:lastRow="1" w:firstColumn="1" w:lastColumn="1" w:noHBand="0" w:noVBand="0"/>
      </w:tblPr>
      <w:tblGrid>
        <w:gridCol w:w="1239"/>
        <w:gridCol w:w="746"/>
        <w:gridCol w:w="493"/>
        <w:gridCol w:w="924"/>
        <w:gridCol w:w="315"/>
        <w:gridCol w:w="961"/>
        <w:gridCol w:w="1276"/>
        <w:gridCol w:w="1239"/>
        <w:gridCol w:w="1239"/>
        <w:gridCol w:w="1239"/>
      </w:tblGrid>
      <w:tr w:rsidR="007A593A" w:rsidRPr="00E5701A" w14:paraId="6721E54B" w14:textId="22C872A9" w:rsidTr="00057CEE">
        <w:trPr>
          <w:trHeight w:val="364"/>
        </w:trPr>
        <w:tc>
          <w:tcPr>
            <w:tcW w:w="1985" w:type="dxa"/>
            <w:gridSpan w:val="2"/>
            <w:tcBorders>
              <w:bottom w:val="single" w:sz="8" w:space="0" w:color="auto"/>
            </w:tcBorders>
          </w:tcPr>
          <w:p w14:paraId="38198E10" w14:textId="77777777" w:rsidR="007A593A" w:rsidRPr="00E5701A" w:rsidRDefault="007A593A" w:rsidP="00E50343">
            <w:pPr>
              <w:pStyle w:val="TableParagraph"/>
              <w:keepNext/>
              <w:keepLines/>
              <w:spacing w:before="60" w:after="60"/>
              <w:rPr>
                <w:rFonts w:ascii="Times New Roman"/>
                <w:sz w:val="14"/>
                <w:lang w:val="en-GB"/>
              </w:rPr>
            </w:pPr>
          </w:p>
        </w:tc>
        <w:tc>
          <w:tcPr>
            <w:tcW w:w="1417" w:type="dxa"/>
            <w:gridSpan w:val="2"/>
            <w:tcBorders>
              <w:bottom w:val="single" w:sz="8" w:space="0" w:color="auto"/>
            </w:tcBorders>
          </w:tcPr>
          <w:p w14:paraId="3FF53B95" w14:textId="77777777" w:rsidR="007A593A" w:rsidRPr="00E5701A" w:rsidRDefault="007A593A" w:rsidP="00E50343">
            <w:pPr>
              <w:pStyle w:val="TableParagraph"/>
              <w:keepNext/>
              <w:keepLines/>
              <w:spacing w:before="60" w:after="60" w:line="101" w:lineRule="exact"/>
              <w:rPr>
                <w:b/>
                <w:bCs/>
                <w:sz w:val="14"/>
                <w:szCs w:val="14"/>
                <w:lang w:val="en-GB"/>
              </w:rPr>
            </w:pPr>
            <w:r w:rsidRPr="00E5701A">
              <w:rPr>
                <w:b/>
                <w:bCs/>
                <w:sz w:val="14"/>
                <w:szCs w:val="14"/>
                <w:lang w:val="en-GB"/>
              </w:rPr>
              <w:t>2019/2020 vs</w:t>
            </w:r>
          </w:p>
          <w:p w14:paraId="3DFBAA3B" w14:textId="77777777" w:rsidR="007A593A" w:rsidRPr="00E5701A" w:rsidRDefault="007A593A" w:rsidP="00561FE2">
            <w:pPr>
              <w:pStyle w:val="TableParagraph"/>
              <w:keepNext/>
              <w:keepLines/>
              <w:spacing w:before="60" w:after="60" w:line="122" w:lineRule="exact"/>
              <w:rPr>
                <w:b/>
                <w:bCs/>
                <w:sz w:val="14"/>
                <w:szCs w:val="14"/>
                <w:lang w:val="en-GB"/>
              </w:rPr>
            </w:pPr>
            <w:r w:rsidRPr="00E5701A">
              <w:rPr>
                <w:b/>
                <w:bCs/>
                <w:sz w:val="14"/>
                <w:szCs w:val="14"/>
                <w:lang w:val="en-GB"/>
              </w:rPr>
              <w:t>2018/2019</w:t>
            </w:r>
          </w:p>
        </w:tc>
        <w:tc>
          <w:tcPr>
            <w:tcW w:w="1276" w:type="dxa"/>
            <w:gridSpan w:val="2"/>
            <w:tcBorders>
              <w:bottom w:val="single" w:sz="8" w:space="0" w:color="auto"/>
            </w:tcBorders>
          </w:tcPr>
          <w:p w14:paraId="7ABE70DF" w14:textId="77777777" w:rsidR="007A593A" w:rsidRPr="00E5701A" w:rsidRDefault="007A593A" w:rsidP="00E50343">
            <w:pPr>
              <w:pStyle w:val="TableParagraph"/>
              <w:keepNext/>
              <w:keepLines/>
              <w:spacing w:before="60" w:after="60" w:line="101" w:lineRule="exact"/>
              <w:rPr>
                <w:b/>
                <w:bCs/>
                <w:sz w:val="14"/>
                <w:szCs w:val="14"/>
                <w:lang w:val="en-GB"/>
              </w:rPr>
            </w:pPr>
            <w:r w:rsidRPr="00E5701A">
              <w:rPr>
                <w:b/>
                <w:bCs/>
                <w:sz w:val="14"/>
                <w:szCs w:val="14"/>
                <w:lang w:val="en-GB"/>
              </w:rPr>
              <w:t>2020/2021 vs</w:t>
            </w:r>
          </w:p>
          <w:p w14:paraId="76FD1A3D" w14:textId="77777777" w:rsidR="007A593A" w:rsidRPr="00E5701A" w:rsidRDefault="007A593A" w:rsidP="00561FE2">
            <w:pPr>
              <w:pStyle w:val="TableParagraph"/>
              <w:keepNext/>
              <w:keepLines/>
              <w:spacing w:before="60" w:after="60" w:line="122" w:lineRule="exact"/>
              <w:rPr>
                <w:b/>
                <w:bCs/>
                <w:sz w:val="14"/>
                <w:szCs w:val="14"/>
                <w:lang w:val="en-GB"/>
              </w:rPr>
            </w:pPr>
            <w:r w:rsidRPr="00E5701A">
              <w:rPr>
                <w:b/>
                <w:bCs/>
                <w:sz w:val="14"/>
                <w:szCs w:val="14"/>
                <w:lang w:val="en-GB"/>
              </w:rPr>
              <w:t>2019/2020</w:t>
            </w:r>
          </w:p>
        </w:tc>
        <w:tc>
          <w:tcPr>
            <w:tcW w:w="1276" w:type="dxa"/>
            <w:tcBorders>
              <w:bottom w:val="single" w:sz="8" w:space="0" w:color="auto"/>
            </w:tcBorders>
          </w:tcPr>
          <w:p w14:paraId="311CEA81" w14:textId="77B24F41" w:rsidR="007A593A" w:rsidRPr="00E5701A" w:rsidRDefault="007A593A" w:rsidP="00E50343">
            <w:pPr>
              <w:pStyle w:val="TableParagraph"/>
              <w:keepNext/>
              <w:keepLines/>
              <w:spacing w:before="60" w:after="60" w:line="122" w:lineRule="exact"/>
              <w:rPr>
                <w:b/>
                <w:bCs/>
                <w:spacing w:val="-2"/>
                <w:sz w:val="14"/>
                <w:szCs w:val="14"/>
                <w:lang w:val="en-GB"/>
              </w:rPr>
            </w:pPr>
            <w:r w:rsidRPr="00E5701A">
              <w:rPr>
                <w:b/>
                <w:bCs/>
                <w:sz w:val="14"/>
                <w:szCs w:val="14"/>
                <w:lang w:val="en-GB"/>
              </w:rPr>
              <w:t>2021/2022 vs</w:t>
            </w:r>
          </w:p>
          <w:p w14:paraId="66E4807B" w14:textId="09870514" w:rsidR="007A593A" w:rsidRPr="00E5701A" w:rsidRDefault="007A593A" w:rsidP="00E50343">
            <w:pPr>
              <w:pStyle w:val="TableParagraph"/>
              <w:keepNext/>
              <w:keepLines/>
              <w:spacing w:before="60" w:after="60" w:line="122" w:lineRule="exact"/>
              <w:rPr>
                <w:b/>
                <w:bCs/>
                <w:sz w:val="14"/>
                <w:szCs w:val="14"/>
                <w:lang w:val="en-GB"/>
              </w:rPr>
            </w:pPr>
            <w:r w:rsidRPr="00E5701A">
              <w:rPr>
                <w:b/>
                <w:bCs/>
                <w:sz w:val="14"/>
                <w:szCs w:val="14"/>
                <w:lang w:val="en-GB"/>
              </w:rPr>
              <w:t>2020/2021</w:t>
            </w:r>
          </w:p>
        </w:tc>
        <w:tc>
          <w:tcPr>
            <w:tcW w:w="1239" w:type="dxa"/>
            <w:tcBorders>
              <w:bottom w:val="single" w:sz="8" w:space="0" w:color="auto"/>
            </w:tcBorders>
          </w:tcPr>
          <w:p w14:paraId="05CDD0AD" w14:textId="0B003CEE" w:rsidR="007A593A" w:rsidRPr="00E5701A" w:rsidRDefault="007A593A" w:rsidP="00E50343">
            <w:pPr>
              <w:pStyle w:val="TableParagraph"/>
              <w:keepNext/>
              <w:keepLines/>
              <w:spacing w:before="60" w:after="60" w:line="122" w:lineRule="exact"/>
              <w:rPr>
                <w:b/>
                <w:bCs/>
                <w:spacing w:val="-2"/>
                <w:sz w:val="14"/>
                <w:szCs w:val="14"/>
                <w:lang w:val="en-GB"/>
              </w:rPr>
            </w:pPr>
            <w:r w:rsidRPr="00E5701A">
              <w:rPr>
                <w:b/>
                <w:bCs/>
                <w:sz w:val="14"/>
                <w:szCs w:val="14"/>
                <w:lang w:val="en-GB"/>
              </w:rPr>
              <w:t>2022/2023 vs</w:t>
            </w:r>
          </w:p>
          <w:p w14:paraId="17B2F9F5" w14:textId="593F571F" w:rsidR="007A593A" w:rsidRPr="00E5701A" w:rsidRDefault="007A593A" w:rsidP="00E50343">
            <w:pPr>
              <w:pStyle w:val="TableParagraph"/>
              <w:keepNext/>
              <w:keepLines/>
              <w:spacing w:before="60" w:after="60" w:line="122" w:lineRule="exact"/>
              <w:rPr>
                <w:b/>
                <w:bCs/>
                <w:spacing w:val="-2"/>
                <w:sz w:val="14"/>
                <w:szCs w:val="14"/>
                <w:lang w:val="en-GB"/>
              </w:rPr>
            </w:pPr>
            <w:r w:rsidRPr="00E5701A">
              <w:rPr>
                <w:b/>
                <w:bCs/>
                <w:sz w:val="14"/>
                <w:szCs w:val="14"/>
                <w:lang w:val="en-GB"/>
              </w:rPr>
              <w:t>2021/2022</w:t>
            </w:r>
          </w:p>
        </w:tc>
        <w:tc>
          <w:tcPr>
            <w:tcW w:w="1239" w:type="dxa"/>
            <w:tcBorders>
              <w:bottom w:val="single" w:sz="8" w:space="0" w:color="auto"/>
            </w:tcBorders>
          </w:tcPr>
          <w:p w14:paraId="7B2CCFAC" w14:textId="6B84C2D4" w:rsidR="007A593A" w:rsidRPr="00E5701A" w:rsidRDefault="007A593A" w:rsidP="00E50343">
            <w:pPr>
              <w:pStyle w:val="TableParagraph"/>
              <w:keepNext/>
              <w:keepLines/>
              <w:spacing w:before="60" w:after="60" w:line="122" w:lineRule="exact"/>
              <w:rPr>
                <w:b/>
                <w:bCs/>
                <w:spacing w:val="-2"/>
                <w:sz w:val="14"/>
                <w:szCs w:val="14"/>
                <w:lang w:val="en-GB"/>
              </w:rPr>
            </w:pPr>
            <w:r w:rsidRPr="00E5701A">
              <w:rPr>
                <w:b/>
                <w:bCs/>
                <w:sz w:val="14"/>
                <w:szCs w:val="14"/>
                <w:lang w:val="en-GB"/>
              </w:rPr>
              <w:t>2023/2024 vs</w:t>
            </w:r>
          </w:p>
          <w:p w14:paraId="52903300" w14:textId="3D544400" w:rsidR="007A593A" w:rsidRPr="00E5701A" w:rsidRDefault="007A593A" w:rsidP="00E50343">
            <w:pPr>
              <w:pStyle w:val="TableParagraph"/>
              <w:keepNext/>
              <w:keepLines/>
              <w:spacing w:before="60" w:after="60" w:line="122" w:lineRule="exact"/>
              <w:rPr>
                <w:b/>
                <w:bCs/>
                <w:spacing w:val="-2"/>
                <w:sz w:val="14"/>
                <w:szCs w:val="14"/>
                <w:lang w:val="en-GB"/>
              </w:rPr>
            </w:pPr>
            <w:r w:rsidRPr="00E5701A">
              <w:rPr>
                <w:b/>
                <w:bCs/>
                <w:sz w:val="14"/>
                <w:szCs w:val="14"/>
                <w:lang w:val="en-GB"/>
              </w:rPr>
              <w:t>2022/2023</w:t>
            </w:r>
          </w:p>
        </w:tc>
        <w:tc>
          <w:tcPr>
            <w:tcW w:w="1239" w:type="dxa"/>
            <w:tcBorders>
              <w:bottom w:val="single" w:sz="8" w:space="0" w:color="auto"/>
            </w:tcBorders>
          </w:tcPr>
          <w:p w14:paraId="7EE37044" w14:textId="1684CDEB" w:rsidR="007A593A" w:rsidRPr="00E5701A" w:rsidRDefault="007A593A" w:rsidP="00E50343">
            <w:pPr>
              <w:pStyle w:val="TableParagraph"/>
              <w:keepNext/>
              <w:keepLines/>
              <w:spacing w:before="60" w:after="60" w:line="122" w:lineRule="exact"/>
              <w:rPr>
                <w:b/>
                <w:bCs/>
                <w:spacing w:val="-2"/>
                <w:sz w:val="14"/>
                <w:szCs w:val="14"/>
                <w:lang w:val="en-GB"/>
              </w:rPr>
            </w:pPr>
            <w:r w:rsidRPr="00E5701A">
              <w:rPr>
                <w:b/>
                <w:bCs/>
                <w:sz w:val="14"/>
                <w:szCs w:val="14"/>
                <w:lang w:val="en-GB"/>
              </w:rPr>
              <w:t>2023/2024</w:t>
            </w:r>
          </w:p>
        </w:tc>
      </w:tr>
      <w:tr w:rsidR="007A593A" w:rsidRPr="00E5701A" w14:paraId="4769A310" w14:textId="7656EDB7" w:rsidTr="00057CEE">
        <w:trPr>
          <w:trHeight w:val="184"/>
        </w:trPr>
        <w:tc>
          <w:tcPr>
            <w:tcW w:w="1985" w:type="dxa"/>
            <w:gridSpan w:val="2"/>
            <w:tcBorders>
              <w:top w:val="single" w:sz="8" w:space="0" w:color="auto"/>
              <w:bottom w:val="single" w:sz="8" w:space="0" w:color="auto"/>
            </w:tcBorders>
          </w:tcPr>
          <w:p w14:paraId="1A665CB1" w14:textId="77777777" w:rsidR="007A593A" w:rsidRPr="00E5701A" w:rsidRDefault="007A593A" w:rsidP="00E50343">
            <w:pPr>
              <w:pStyle w:val="TableParagraph"/>
              <w:keepNext/>
              <w:keepLines/>
              <w:spacing w:before="60" w:after="60" w:line="151" w:lineRule="exact"/>
              <w:ind w:left="142"/>
              <w:rPr>
                <w:b/>
                <w:bCs/>
                <w:sz w:val="16"/>
                <w:lang w:val="en-GB"/>
              </w:rPr>
            </w:pPr>
            <w:r w:rsidRPr="00E5701A">
              <w:rPr>
                <w:b/>
                <w:bCs/>
                <w:sz w:val="16"/>
                <w:lang w:val="en-GB"/>
              </w:rPr>
              <w:t>CEO remuneration</w:t>
            </w:r>
          </w:p>
        </w:tc>
        <w:tc>
          <w:tcPr>
            <w:tcW w:w="1417" w:type="dxa"/>
            <w:gridSpan w:val="2"/>
            <w:tcBorders>
              <w:top w:val="single" w:sz="8" w:space="0" w:color="auto"/>
              <w:bottom w:val="single" w:sz="8" w:space="0" w:color="auto"/>
            </w:tcBorders>
          </w:tcPr>
          <w:p w14:paraId="115D5D23" w14:textId="56518616" w:rsidR="007A593A" w:rsidRPr="00E5701A" w:rsidRDefault="007A593A" w:rsidP="00E50343">
            <w:pPr>
              <w:pStyle w:val="TableParagraph"/>
              <w:keepNext/>
              <w:keepLines/>
              <w:spacing w:line="174" w:lineRule="exact"/>
              <w:rPr>
                <w:sz w:val="16"/>
                <w:lang w:val="en-GB"/>
              </w:rPr>
            </w:pPr>
            <w:r w:rsidRPr="00E5701A">
              <w:rPr>
                <w:sz w:val="16"/>
                <w:lang w:val="en-GB"/>
              </w:rPr>
              <w:t>+735 (+7%)</w:t>
            </w:r>
          </w:p>
        </w:tc>
        <w:tc>
          <w:tcPr>
            <w:tcW w:w="1276" w:type="dxa"/>
            <w:gridSpan w:val="2"/>
            <w:tcBorders>
              <w:top w:val="single" w:sz="8" w:space="0" w:color="auto"/>
              <w:bottom w:val="single" w:sz="8" w:space="0" w:color="auto"/>
            </w:tcBorders>
          </w:tcPr>
          <w:p w14:paraId="45CAB8A5" w14:textId="5F334297" w:rsidR="007A593A" w:rsidRPr="00E5701A" w:rsidRDefault="007A593A" w:rsidP="00E50343">
            <w:pPr>
              <w:pStyle w:val="TableParagraph"/>
              <w:keepNext/>
              <w:keepLines/>
              <w:spacing w:line="174" w:lineRule="exact"/>
              <w:rPr>
                <w:sz w:val="16"/>
                <w:lang w:val="en-GB"/>
              </w:rPr>
            </w:pPr>
            <w:r w:rsidRPr="00E5701A">
              <w:rPr>
                <w:sz w:val="16"/>
                <w:lang w:val="en-GB"/>
              </w:rPr>
              <w:t>-804 (+7%)</w:t>
            </w:r>
          </w:p>
        </w:tc>
        <w:tc>
          <w:tcPr>
            <w:tcW w:w="1276" w:type="dxa"/>
            <w:tcBorders>
              <w:top w:val="single" w:sz="8" w:space="0" w:color="auto"/>
              <w:bottom w:val="single" w:sz="8" w:space="0" w:color="auto"/>
            </w:tcBorders>
          </w:tcPr>
          <w:p w14:paraId="0D1A5CE0" w14:textId="0FE624ED" w:rsidR="007A593A" w:rsidRPr="00E5701A" w:rsidRDefault="007A593A" w:rsidP="00E50343">
            <w:pPr>
              <w:pStyle w:val="TableParagraph"/>
              <w:keepNext/>
              <w:keepLines/>
              <w:spacing w:line="174" w:lineRule="exact"/>
              <w:rPr>
                <w:sz w:val="16"/>
                <w:lang w:val="en-GB"/>
              </w:rPr>
            </w:pPr>
            <w:r w:rsidRPr="00E5701A">
              <w:rPr>
                <w:sz w:val="16"/>
                <w:lang w:val="en-GB"/>
              </w:rPr>
              <w:t>+862 (-7%)</w:t>
            </w:r>
          </w:p>
        </w:tc>
        <w:tc>
          <w:tcPr>
            <w:tcW w:w="1239" w:type="dxa"/>
            <w:tcBorders>
              <w:top w:val="single" w:sz="8" w:space="0" w:color="auto"/>
              <w:bottom w:val="single" w:sz="8" w:space="0" w:color="auto"/>
            </w:tcBorders>
          </w:tcPr>
          <w:p w14:paraId="5665A0A3" w14:textId="1B5F28EC" w:rsidR="007A593A" w:rsidRPr="00E5701A" w:rsidRDefault="007A593A" w:rsidP="00E50343">
            <w:pPr>
              <w:pStyle w:val="TableParagraph"/>
              <w:keepNext/>
              <w:keepLines/>
              <w:spacing w:line="174" w:lineRule="exact"/>
              <w:rPr>
                <w:sz w:val="16"/>
                <w:lang w:val="en-GB"/>
              </w:rPr>
            </w:pPr>
            <w:r w:rsidRPr="00E5701A">
              <w:rPr>
                <w:sz w:val="16"/>
                <w:lang w:val="en-GB"/>
              </w:rPr>
              <w:t>-1,019 (-9%)</w:t>
            </w:r>
          </w:p>
        </w:tc>
        <w:tc>
          <w:tcPr>
            <w:tcW w:w="1239" w:type="dxa"/>
            <w:tcBorders>
              <w:top w:val="single" w:sz="8" w:space="0" w:color="auto"/>
              <w:bottom w:val="single" w:sz="8" w:space="0" w:color="auto"/>
            </w:tcBorders>
          </w:tcPr>
          <w:p w14:paraId="2EEC92C2" w14:textId="0B2350D2" w:rsidR="007A593A" w:rsidRPr="00E5701A" w:rsidRDefault="007A593A" w:rsidP="00561FE2">
            <w:pPr>
              <w:pStyle w:val="TableParagraph"/>
              <w:keepNext/>
              <w:keepLines/>
              <w:spacing w:before="1" w:line="175" w:lineRule="exact"/>
              <w:rPr>
                <w:sz w:val="16"/>
                <w:lang w:val="en-GB"/>
              </w:rPr>
            </w:pPr>
            <w:r w:rsidRPr="00E5701A">
              <w:rPr>
                <w:sz w:val="16"/>
                <w:lang w:val="en-GB"/>
              </w:rPr>
              <w:t>3,923 (+38%)</w:t>
            </w:r>
          </w:p>
        </w:tc>
        <w:tc>
          <w:tcPr>
            <w:tcW w:w="1239" w:type="dxa"/>
            <w:tcBorders>
              <w:top w:val="single" w:sz="8" w:space="0" w:color="auto"/>
              <w:bottom w:val="single" w:sz="8" w:space="0" w:color="auto"/>
            </w:tcBorders>
          </w:tcPr>
          <w:p w14:paraId="7FEA7FFC" w14:textId="00624405" w:rsidR="007A593A" w:rsidRPr="00E5701A" w:rsidRDefault="007A593A" w:rsidP="00561FE2">
            <w:pPr>
              <w:pStyle w:val="TableParagraph"/>
              <w:keepNext/>
              <w:keepLines/>
              <w:spacing w:before="1" w:line="175" w:lineRule="exact"/>
              <w:rPr>
                <w:sz w:val="16"/>
                <w:lang w:val="en-GB"/>
              </w:rPr>
            </w:pPr>
            <w:r w:rsidRPr="00E5701A">
              <w:rPr>
                <w:sz w:val="16"/>
                <w:lang w:val="en-GB"/>
              </w:rPr>
              <w:t>14,204</w:t>
            </w:r>
          </w:p>
        </w:tc>
      </w:tr>
      <w:tr w:rsidR="007A593A" w:rsidRPr="00E5701A" w14:paraId="63BFC2B9" w14:textId="623CE626" w:rsidTr="00057CEE">
        <w:trPr>
          <w:trHeight w:val="189"/>
        </w:trPr>
        <w:tc>
          <w:tcPr>
            <w:tcW w:w="1985" w:type="dxa"/>
            <w:gridSpan w:val="2"/>
            <w:tcBorders>
              <w:top w:val="single" w:sz="8" w:space="0" w:color="auto"/>
              <w:bottom w:val="single" w:sz="8" w:space="0" w:color="auto"/>
            </w:tcBorders>
          </w:tcPr>
          <w:p w14:paraId="3AA184AA" w14:textId="294298FE" w:rsidR="007A593A" w:rsidRPr="00E5701A" w:rsidRDefault="007A593A" w:rsidP="00E50343">
            <w:pPr>
              <w:pStyle w:val="TableParagraph"/>
              <w:keepNext/>
              <w:keepLines/>
              <w:spacing w:before="60" w:after="60" w:line="153" w:lineRule="exact"/>
              <w:ind w:left="142"/>
              <w:rPr>
                <w:b/>
                <w:bCs/>
                <w:sz w:val="16"/>
                <w:lang w:val="en-GB"/>
              </w:rPr>
            </w:pPr>
            <w:r w:rsidRPr="00E5701A">
              <w:rPr>
                <w:b/>
                <w:bCs/>
                <w:sz w:val="16"/>
                <w:lang w:val="en-GB"/>
              </w:rPr>
              <w:t>Group operating profit</w:t>
            </w:r>
            <w:r w:rsidRPr="00E5701A">
              <w:rPr>
                <w:sz w:val="16"/>
                <w:lang w:val="en-GB"/>
              </w:rPr>
              <w:br/>
            </w:r>
          </w:p>
        </w:tc>
        <w:tc>
          <w:tcPr>
            <w:tcW w:w="1417" w:type="dxa"/>
            <w:gridSpan w:val="2"/>
            <w:tcBorders>
              <w:top w:val="single" w:sz="8" w:space="0" w:color="auto"/>
              <w:bottom w:val="single" w:sz="8" w:space="0" w:color="auto"/>
            </w:tcBorders>
          </w:tcPr>
          <w:p w14:paraId="1CC0B00B" w14:textId="77777777" w:rsidR="007A593A" w:rsidRPr="00E5701A" w:rsidRDefault="007A593A" w:rsidP="00E50343">
            <w:pPr>
              <w:pStyle w:val="TableParagraph"/>
              <w:keepNext/>
              <w:keepLines/>
              <w:spacing w:before="1" w:line="175" w:lineRule="exact"/>
              <w:rPr>
                <w:sz w:val="16"/>
                <w:lang w:val="en-GB"/>
              </w:rPr>
            </w:pPr>
            <w:r w:rsidRPr="00E5701A">
              <w:rPr>
                <w:sz w:val="16"/>
                <w:lang w:val="en-GB"/>
              </w:rPr>
              <w:t>+359,800 (+383%)</w:t>
            </w:r>
          </w:p>
        </w:tc>
        <w:tc>
          <w:tcPr>
            <w:tcW w:w="1276" w:type="dxa"/>
            <w:gridSpan w:val="2"/>
            <w:tcBorders>
              <w:top w:val="single" w:sz="8" w:space="0" w:color="auto"/>
              <w:bottom w:val="single" w:sz="8" w:space="0" w:color="auto"/>
            </w:tcBorders>
          </w:tcPr>
          <w:p w14:paraId="272E511E" w14:textId="77777777" w:rsidR="007A593A" w:rsidRPr="00E5701A" w:rsidRDefault="007A593A" w:rsidP="00E50343">
            <w:pPr>
              <w:pStyle w:val="TableParagraph"/>
              <w:keepNext/>
              <w:keepLines/>
              <w:spacing w:before="1" w:line="175" w:lineRule="exact"/>
              <w:rPr>
                <w:sz w:val="16"/>
                <w:lang w:val="en-GB"/>
              </w:rPr>
            </w:pPr>
            <w:r w:rsidRPr="00E5701A">
              <w:rPr>
                <w:sz w:val="16"/>
                <w:lang w:val="en-GB"/>
              </w:rPr>
              <w:t>+84,000 (+19%)</w:t>
            </w:r>
          </w:p>
        </w:tc>
        <w:tc>
          <w:tcPr>
            <w:tcW w:w="1276" w:type="dxa"/>
            <w:tcBorders>
              <w:top w:val="single" w:sz="8" w:space="0" w:color="auto"/>
              <w:bottom w:val="single" w:sz="8" w:space="0" w:color="auto"/>
            </w:tcBorders>
          </w:tcPr>
          <w:p w14:paraId="36EAAB70" w14:textId="6B528AF5" w:rsidR="007A593A" w:rsidRPr="00E5701A" w:rsidRDefault="007A593A" w:rsidP="00E50343">
            <w:pPr>
              <w:pStyle w:val="TableParagraph"/>
              <w:keepNext/>
              <w:keepLines/>
              <w:spacing w:before="1" w:line="175" w:lineRule="exact"/>
              <w:rPr>
                <w:sz w:val="16"/>
                <w:lang w:val="en-GB"/>
              </w:rPr>
            </w:pPr>
            <w:r w:rsidRPr="00E5701A">
              <w:rPr>
                <w:sz w:val="16"/>
                <w:lang w:val="en-GB"/>
              </w:rPr>
              <w:t>+104,100 (+19%)</w:t>
            </w:r>
          </w:p>
        </w:tc>
        <w:tc>
          <w:tcPr>
            <w:tcW w:w="1239" w:type="dxa"/>
            <w:tcBorders>
              <w:top w:val="single" w:sz="8" w:space="0" w:color="auto"/>
              <w:bottom w:val="single" w:sz="8" w:space="0" w:color="auto"/>
            </w:tcBorders>
          </w:tcPr>
          <w:p w14:paraId="41444543" w14:textId="67D725C3" w:rsidR="007A593A" w:rsidRPr="00E5701A" w:rsidRDefault="007A593A" w:rsidP="00E50343">
            <w:pPr>
              <w:pStyle w:val="TableParagraph"/>
              <w:keepNext/>
              <w:keepLines/>
              <w:spacing w:before="1" w:line="175" w:lineRule="exact"/>
              <w:rPr>
                <w:sz w:val="16"/>
                <w:lang w:val="en-GB"/>
              </w:rPr>
            </w:pPr>
            <w:r w:rsidRPr="00E5701A">
              <w:rPr>
                <w:sz w:val="16"/>
                <w:lang w:val="en-GB"/>
              </w:rPr>
              <w:t>-336,900 (-52%)</w:t>
            </w:r>
          </w:p>
        </w:tc>
        <w:tc>
          <w:tcPr>
            <w:tcW w:w="1239" w:type="dxa"/>
            <w:tcBorders>
              <w:top w:val="single" w:sz="8" w:space="0" w:color="auto"/>
              <w:bottom w:val="single" w:sz="8" w:space="0" w:color="auto"/>
            </w:tcBorders>
          </w:tcPr>
          <w:p w14:paraId="1F20E765" w14:textId="64E04F05" w:rsidR="007A593A" w:rsidRPr="00E5701A" w:rsidDel="00AF4E98" w:rsidRDefault="008D41FD" w:rsidP="00E50343">
            <w:pPr>
              <w:pStyle w:val="TableParagraph"/>
              <w:keepNext/>
              <w:keepLines/>
              <w:spacing w:before="1" w:line="175" w:lineRule="exact"/>
              <w:rPr>
                <w:sz w:val="16"/>
                <w:lang w:val="en-GB"/>
              </w:rPr>
            </w:pPr>
            <w:r w:rsidRPr="00E5701A">
              <w:rPr>
                <w:sz w:val="16"/>
                <w:lang w:val="en-GB"/>
              </w:rPr>
              <w:t>+412,000 (+135%)</w:t>
            </w:r>
          </w:p>
        </w:tc>
        <w:tc>
          <w:tcPr>
            <w:tcW w:w="1239" w:type="dxa"/>
            <w:tcBorders>
              <w:top w:val="single" w:sz="8" w:space="0" w:color="auto"/>
              <w:bottom w:val="single" w:sz="8" w:space="0" w:color="auto"/>
            </w:tcBorders>
          </w:tcPr>
          <w:p w14:paraId="55562688" w14:textId="0C445EA4" w:rsidR="007A593A" w:rsidRPr="00E5701A" w:rsidRDefault="008D41FD" w:rsidP="00E50343">
            <w:pPr>
              <w:pStyle w:val="TableParagraph"/>
              <w:keepNext/>
              <w:keepLines/>
              <w:spacing w:before="1" w:line="175" w:lineRule="exact"/>
              <w:rPr>
                <w:sz w:val="16"/>
                <w:lang w:val="en-GB"/>
              </w:rPr>
            </w:pPr>
            <w:r w:rsidRPr="00E5701A">
              <w:rPr>
                <w:sz w:val="16"/>
                <w:lang w:val="en-GB"/>
              </w:rPr>
              <w:t>716,800</w:t>
            </w:r>
          </w:p>
        </w:tc>
      </w:tr>
      <w:tr w:rsidR="007A593A" w:rsidRPr="00E5701A" w14:paraId="0071C334" w14:textId="65110A5E" w:rsidTr="00057CEE">
        <w:trPr>
          <w:trHeight w:val="542"/>
        </w:trPr>
        <w:tc>
          <w:tcPr>
            <w:tcW w:w="1985" w:type="dxa"/>
            <w:gridSpan w:val="2"/>
            <w:tcBorders>
              <w:top w:val="single" w:sz="8" w:space="0" w:color="auto"/>
            </w:tcBorders>
          </w:tcPr>
          <w:p w14:paraId="4CECF616" w14:textId="43D0858D" w:rsidR="007A593A" w:rsidRPr="00E5701A" w:rsidRDefault="007A593A" w:rsidP="00847AAE">
            <w:pPr>
              <w:pStyle w:val="TableParagraph"/>
              <w:keepNext/>
              <w:keepLines/>
              <w:spacing w:before="60" w:after="60" w:line="168" w:lineRule="auto"/>
              <w:ind w:left="142"/>
              <w:rPr>
                <w:b/>
                <w:bCs/>
                <w:spacing w:val="-2"/>
                <w:sz w:val="16"/>
                <w:lang w:val="en-GB"/>
              </w:rPr>
            </w:pPr>
            <w:r w:rsidRPr="00E5701A">
              <w:rPr>
                <w:b/>
                <w:bCs/>
                <w:sz w:val="16"/>
                <w:lang w:val="en-GB"/>
              </w:rPr>
              <w:t xml:space="preserve">Average remuneration on a full-time equivalent basis of employees* of the </w:t>
            </w:r>
            <w:r w:rsidRPr="00E5701A">
              <w:rPr>
                <w:sz w:val="16"/>
                <w:lang w:val="en-GB"/>
              </w:rPr>
              <w:br/>
            </w:r>
            <w:r w:rsidRPr="00E5701A">
              <w:rPr>
                <w:b/>
                <w:bCs/>
                <w:sz w:val="16"/>
                <w:lang w:val="en-GB"/>
              </w:rPr>
              <w:t>Parent Company</w:t>
            </w:r>
          </w:p>
          <w:p w14:paraId="3E733D29" w14:textId="77777777" w:rsidR="007A593A" w:rsidRPr="00E5701A" w:rsidRDefault="007A593A" w:rsidP="00847AAE">
            <w:pPr>
              <w:pStyle w:val="TableParagraph"/>
              <w:keepNext/>
              <w:keepLines/>
              <w:spacing w:before="60" w:after="60" w:line="168" w:lineRule="auto"/>
              <w:ind w:left="142"/>
              <w:rPr>
                <w:b/>
                <w:bCs/>
                <w:spacing w:val="-2"/>
                <w:sz w:val="16"/>
                <w:lang w:val="en-GB"/>
              </w:rPr>
            </w:pPr>
          </w:p>
          <w:p w14:paraId="2463C91F" w14:textId="61653EAD" w:rsidR="007A593A" w:rsidRPr="00E5701A" w:rsidRDefault="007A593A" w:rsidP="00561FE2">
            <w:pPr>
              <w:pStyle w:val="TableParagraph"/>
              <w:keepNext/>
              <w:keepLines/>
              <w:spacing w:before="60" w:after="60" w:line="168" w:lineRule="auto"/>
              <w:ind w:left="142"/>
              <w:rPr>
                <w:sz w:val="16"/>
                <w:lang w:val="en-GB"/>
              </w:rPr>
            </w:pPr>
            <w:r w:rsidRPr="00E5701A">
              <w:rPr>
                <w:sz w:val="12"/>
                <w:szCs w:val="18"/>
                <w:lang w:val="en-GB"/>
              </w:rPr>
              <w:t>* Excluding members of Group Management</w:t>
            </w:r>
          </w:p>
        </w:tc>
        <w:tc>
          <w:tcPr>
            <w:tcW w:w="1417" w:type="dxa"/>
            <w:gridSpan w:val="2"/>
            <w:tcBorders>
              <w:top w:val="single" w:sz="8" w:space="0" w:color="auto"/>
            </w:tcBorders>
          </w:tcPr>
          <w:p w14:paraId="0739A0E7" w14:textId="77777777" w:rsidR="007A593A" w:rsidRPr="00E5701A" w:rsidRDefault="007A593A" w:rsidP="00E50343">
            <w:pPr>
              <w:pStyle w:val="TableParagraph"/>
              <w:keepNext/>
              <w:keepLines/>
              <w:spacing w:line="194" w:lineRule="exact"/>
              <w:rPr>
                <w:sz w:val="16"/>
                <w:lang w:val="en-GB"/>
              </w:rPr>
            </w:pPr>
            <w:r w:rsidRPr="00E5701A">
              <w:rPr>
                <w:sz w:val="16"/>
                <w:lang w:val="en-GB"/>
              </w:rPr>
              <w:t>+52.38 (+10.5%)</w:t>
            </w:r>
          </w:p>
        </w:tc>
        <w:tc>
          <w:tcPr>
            <w:tcW w:w="1276" w:type="dxa"/>
            <w:gridSpan w:val="2"/>
            <w:tcBorders>
              <w:top w:val="single" w:sz="8" w:space="0" w:color="auto"/>
            </w:tcBorders>
          </w:tcPr>
          <w:p w14:paraId="48DE8540" w14:textId="77777777" w:rsidR="007A593A" w:rsidRPr="00E5701A" w:rsidRDefault="007A593A" w:rsidP="00E50343">
            <w:pPr>
              <w:pStyle w:val="TableParagraph"/>
              <w:keepNext/>
              <w:keepLines/>
              <w:spacing w:line="194" w:lineRule="exact"/>
              <w:rPr>
                <w:sz w:val="16"/>
                <w:lang w:val="en-GB"/>
              </w:rPr>
            </w:pPr>
            <w:r w:rsidRPr="00E5701A">
              <w:rPr>
                <w:sz w:val="16"/>
                <w:lang w:val="en-GB"/>
              </w:rPr>
              <w:t>-24.97 (-4.5%)</w:t>
            </w:r>
          </w:p>
        </w:tc>
        <w:tc>
          <w:tcPr>
            <w:tcW w:w="1276" w:type="dxa"/>
            <w:tcBorders>
              <w:top w:val="single" w:sz="8" w:space="0" w:color="auto"/>
            </w:tcBorders>
          </w:tcPr>
          <w:p w14:paraId="1BAABF18" w14:textId="3BA811C2" w:rsidR="007A593A" w:rsidRPr="00E5701A" w:rsidRDefault="007A593A" w:rsidP="00E50343">
            <w:pPr>
              <w:pStyle w:val="TableParagraph"/>
              <w:keepNext/>
              <w:keepLines/>
              <w:spacing w:line="194" w:lineRule="exact"/>
              <w:rPr>
                <w:sz w:val="16"/>
                <w:lang w:val="en-GB"/>
              </w:rPr>
            </w:pPr>
            <w:r w:rsidRPr="00E5701A">
              <w:rPr>
                <w:sz w:val="16"/>
                <w:lang w:val="en-GB"/>
              </w:rPr>
              <w:t>-2.90 (-0.5%)</w:t>
            </w:r>
          </w:p>
        </w:tc>
        <w:tc>
          <w:tcPr>
            <w:tcW w:w="1239" w:type="dxa"/>
            <w:tcBorders>
              <w:top w:val="single" w:sz="8" w:space="0" w:color="auto"/>
            </w:tcBorders>
          </w:tcPr>
          <w:p w14:paraId="7715AAE8" w14:textId="31A058A7" w:rsidR="007A593A" w:rsidRPr="00E5701A" w:rsidRDefault="007A593A" w:rsidP="00E50343">
            <w:pPr>
              <w:pStyle w:val="TableParagraph"/>
              <w:keepNext/>
              <w:keepLines/>
              <w:spacing w:line="194" w:lineRule="exact"/>
              <w:rPr>
                <w:spacing w:val="-2"/>
                <w:sz w:val="16"/>
                <w:lang w:val="en-GB"/>
              </w:rPr>
            </w:pPr>
            <w:r w:rsidRPr="00E5701A">
              <w:rPr>
                <w:sz w:val="16"/>
                <w:lang w:val="en-GB"/>
              </w:rPr>
              <w:t>-33.5 (-6.4%)</w:t>
            </w:r>
          </w:p>
        </w:tc>
        <w:tc>
          <w:tcPr>
            <w:tcW w:w="1239" w:type="dxa"/>
            <w:tcBorders>
              <w:top w:val="single" w:sz="8" w:space="0" w:color="auto"/>
            </w:tcBorders>
          </w:tcPr>
          <w:p w14:paraId="2E3413AD" w14:textId="35EF7BAA" w:rsidR="007A593A" w:rsidRPr="00E5701A" w:rsidDel="00FB50F6" w:rsidRDefault="008D41FD" w:rsidP="00E50343">
            <w:pPr>
              <w:pStyle w:val="TableParagraph"/>
              <w:keepNext/>
              <w:keepLines/>
              <w:spacing w:line="194" w:lineRule="exact"/>
              <w:rPr>
                <w:spacing w:val="-2"/>
                <w:sz w:val="16"/>
                <w:lang w:val="en-GB"/>
              </w:rPr>
            </w:pPr>
            <w:r w:rsidRPr="00E5701A">
              <w:rPr>
                <w:sz w:val="16"/>
                <w:lang w:val="en-GB"/>
              </w:rPr>
              <w:t>+57.21 (+11.6%)</w:t>
            </w:r>
          </w:p>
        </w:tc>
        <w:tc>
          <w:tcPr>
            <w:tcW w:w="1239" w:type="dxa"/>
            <w:tcBorders>
              <w:top w:val="single" w:sz="8" w:space="0" w:color="auto"/>
            </w:tcBorders>
          </w:tcPr>
          <w:p w14:paraId="59C7A59E" w14:textId="4999DEA7" w:rsidR="007A593A" w:rsidRPr="00E5701A" w:rsidRDefault="008D41FD" w:rsidP="00E50343">
            <w:pPr>
              <w:pStyle w:val="TableParagraph"/>
              <w:keepNext/>
              <w:keepLines/>
              <w:spacing w:line="194" w:lineRule="exact"/>
              <w:rPr>
                <w:spacing w:val="-2"/>
                <w:sz w:val="16"/>
                <w:lang w:val="en-GB"/>
              </w:rPr>
            </w:pPr>
            <w:r w:rsidRPr="00E5701A">
              <w:rPr>
                <w:sz w:val="16"/>
                <w:lang w:val="en-GB"/>
              </w:rPr>
              <w:t>549</w:t>
            </w:r>
          </w:p>
        </w:tc>
      </w:tr>
      <w:tr w:rsidR="007A593A" w:rsidRPr="00E5701A" w14:paraId="58126937" w14:textId="5B2986B3" w:rsidTr="00057CEE">
        <w:trPr>
          <w:gridAfter w:val="5"/>
          <w:wAfter w:w="5954" w:type="dxa"/>
          <w:trHeight w:val="378"/>
        </w:trPr>
        <w:tc>
          <w:tcPr>
            <w:tcW w:w="1239" w:type="dxa"/>
          </w:tcPr>
          <w:p w14:paraId="684C86D3" w14:textId="77777777" w:rsidR="007A593A" w:rsidRPr="00E5701A" w:rsidRDefault="007A593A" w:rsidP="00E50343">
            <w:pPr>
              <w:pStyle w:val="TableParagraph"/>
              <w:spacing w:line="121" w:lineRule="exact"/>
              <w:rPr>
                <w:sz w:val="12"/>
                <w:lang w:val="en-GB"/>
              </w:rPr>
            </w:pPr>
          </w:p>
        </w:tc>
        <w:tc>
          <w:tcPr>
            <w:tcW w:w="1239" w:type="dxa"/>
            <w:gridSpan w:val="2"/>
          </w:tcPr>
          <w:p w14:paraId="1F20AF66" w14:textId="77777777" w:rsidR="007A593A" w:rsidRPr="00E5701A" w:rsidRDefault="007A593A" w:rsidP="00E50343">
            <w:pPr>
              <w:pStyle w:val="TableParagraph"/>
              <w:spacing w:line="121" w:lineRule="exact"/>
              <w:rPr>
                <w:sz w:val="12"/>
                <w:lang w:val="en-GB"/>
              </w:rPr>
            </w:pPr>
          </w:p>
        </w:tc>
        <w:tc>
          <w:tcPr>
            <w:tcW w:w="1239" w:type="dxa"/>
            <w:gridSpan w:val="2"/>
          </w:tcPr>
          <w:p w14:paraId="632154DF" w14:textId="77777777" w:rsidR="007A593A" w:rsidRPr="00E5701A" w:rsidRDefault="007A593A" w:rsidP="00E50343">
            <w:pPr>
              <w:pStyle w:val="TableParagraph"/>
              <w:spacing w:line="121" w:lineRule="exact"/>
              <w:rPr>
                <w:sz w:val="12"/>
                <w:lang w:val="en-GB"/>
              </w:rPr>
            </w:pPr>
          </w:p>
        </w:tc>
      </w:tr>
    </w:tbl>
    <w:p w14:paraId="555B503A" w14:textId="77777777" w:rsidR="00570B76" w:rsidRPr="00E5701A" w:rsidRDefault="00570B76" w:rsidP="00065E40">
      <w:pPr>
        <w:rPr>
          <w:lang w:val="en-GB"/>
        </w:rPr>
      </w:pPr>
    </w:p>
    <w:sectPr w:rsidR="00570B76" w:rsidRPr="00E5701A" w:rsidSect="00A02255">
      <w:pgSz w:w="11900" w:h="16850"/>
      <w:pgMar w:top="1600" w:right="1127"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B7C46" w14:textId="77777777" w:rsidR="00FF2323" w:rsidRDefault="00FF2323" w:rsidP="00985418">
      <w:r>
        <w:separator/>
      </w:r>
    </w:p>
  </w:endnote>
  <w:endnote w:type="continuationSeparator" w:id="0">
    <w:p w14:paraId="739D8011" w14:textId="77777777" w:rsidR="00FF2323" w:rsidRDefault="00FF2323" w:rsidP="0098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35054" w14:textId="77777777" w:rsidR="00FF2323" w:rsidRDefault="00FF2323" w:rsidP="00985418">
      <w:r>
        <w:separator/>
      </w:r>
    </w:p>
  </w:footnote>
  <w:footnote w:type="continuationSeparator" w:id="0">
    <w:p w14:paraId="0D73B056" w14:textId="77777777" w:rsidR="00FF2323" w:rsidRDefault="00FF2323" w:rsidP="00985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4F3434"/>
    <w:multiLevelType w:val="hybridMultilevel"/>
    <w:tmpl w:val="CE24F0F2"/>
    <w:lvl w:ilvl="0" w:tplc="1C7289A4">
      <w:numFmt w:val="bullet"/>
      <w:lvlText w:val="-"/>
      <w:lvlJc w:val="left"/>
      <w:pPr>
        <w:ind w:left="1640" w:hanging="360"/>
      </w:pPr>
      <w:rPr>
        <w:rFonts w:ascii="Calibri" w:eastAsia="Calibri" w:hAnsi="Calibri" w:cs="Calibri" w:hint="default"/>
        <w:b w:val="0"/>
        <w:bCs w:val="0"/>
        <w:i w:val="0"/>
        <w:iCs w:val="0"/>
        <w:w w:val="99"/>
        <w:sz w:val="20"/>
        <w:szCs w:val="20"/>
        <w:lang w:val="en-US" w:eastAsia="en-US" w:bidi="ar-SA"/>
      </w:rPr>
    </w:lvl>
    <w:lvl w:ilvl="1" w:tplc="CC32505E">
      <w:numFmt w:val="bullet"/>
      <w:lvlText w:val="•"/>
      <w:lvlJc w:val="left"/>
      <w:pPr>
        <w:ind w:left="2645" w:hanging="360"/>
      </w:pPr>
      <w:rPr>
        <w:rFonts w:hint="default"/>
        <w:lang w:val="en-US" w:eastAsia="en-US" w:bidi="ar-SA"/>
      </w:rPr>
    </w:lvl>
    <w:lvl w:ilvl="2" w:tplc="8BBC2666">
      <w:numFmt w:val="bullet"/>
      <w:lvlText w:val="•"/>
      <w:lvlJc w:val="left"/>
      <w:pPr>
        <w:ind w:left="3651" w:hanging="360"/>
      </w:pPr>
      <w:rPr>
        <w:rFonts w:hint="default"/>
        <w:lang w:val="en-US" w:eastAsia="en-US" w:bidi="ar-SA"/>
      </w:rPr>
    </w:lvl>
    <w:lvl w:ilvl="3" w:tplc="7A1E4908">
      <w:numFmt w:val="bullet"/>
      <w:lvlText w:val="•"/>
      <w:lvlJc w:val="left"/>
      <w:pPr>
        <w:ind w:left="4657" w:hanging="360"/>
      </w:pPr>
      <w:rPr>
        <w:rFonts w:hint="default"/>
        <w:lang w:val="en-US" w:eastAsia="en-US" w:bidi="ar-SA"/>
      </w:rPr>
    </w:lvl>
    <w:lvl w:ilvl="4" w:tplc="330005DC">
      <w:numFmt w:val="bullet"/>
      <w:lvlText w:val="•"/>
      <w:lvlJc w:val="left"/>
      <w:pPr>
        <w:ind w:left="5663" w:hanging="360"/>
      </w:pPr>
      <w:rPr>
        <w:rFonts w:hint="default"/>
        <w:lang w:val="en-US" w:eastAsia="en-US" w:bidi="ar-SA"/>
      </w:rPr>
    </w:lvl>
    <w:lvl w:ilvl="5" w:tplc="18D62CF0">
      <w:numFmt w:val="bullet"/>
      <w:lvlText w:val="•"/>
      <w:lvlJc w:val="left"/>
      <w:pPr>
        <w:ind w:left="6669" w:hanging="360"/>
      </w:pPr>
      <w:rPr>
        <w:rFonts w:hint="default"/>
        <w:lang w:val="en-US" w:eastAsia="en-US" w:bidi="ar-SA"/>
      </w:rPr>
    </w:lvl>
    <w:lvl w:ilvl="6" w:tplc="3F26DF4E">
      <w:numFmt w:val="bullet"/>
      <w:lvlText w:val="•"/>
      <w:lvlJc w:val="left"/>
      <w:pPr>
        <w:ind w:left="7675" w:hanging="360"/>
      </w:pPr>
      <w:rPr>
        <w:rFonts w:hint="default"/>
        <w:lang w:val="en-US" w:eastAsia="en-US" w:bidi="ar-SA"/>
      </w:rPr>
    </w:lvl>
    <w:lvl w:ilvl="7" w:tplc="463C02DE">
      <w:numFmt w:val="bullet"/>
      <w:lvlText w:val="•"/>
      <w:lvlJc w:val="left"/>
      <w:pPr>
        <w:ind w:left="8681" w:hanging="360"/>
      </w:pPr>
      <w:rPr>
        <w:rFonts w:hint="default"/>
        <w:lang w:val="en-US" w:eastAsia="en-US" w:bidi="ar-SA"/>
      </w:rPr>
    </w:lvl>
    <w:lvl w:ilvl="8" w:tplc="6E08C076">
      <w:numFmt w:val="bullet"/>
      <w:lvlText w:val="•"/>
      <w:lvlJc w:val="left"/>
      <w:pPr>
        <w:ind w:left="9687" w:hanging="360"/>
      </w:pPr>
      <w:rPr>
        <w:rFonts w:hint="default"/>
        <w:lang w:val="en-US" w:eastAsia="en-US" w:bidi="ar-SA"/>
      </w:rPr>
    </w:lvl>
  </w:abstractNum>
  <w:num w:numId="1" w16cid:durableId="699597693">
    <w:abstractNumId w:val="0"/>
  </w:num>
  <w:num w:numId="2" w16cid:durableId="372195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4BB"/>
    <w:rsid w:val="00022A4A"/>
    <w:rsid w:val="000248C4"/>
    <w:rsid w:val="00033C96"/>
    <w:rsid w:val="00034B3F"/>
    <w:rsid w:val="00036E26"/>
    <w:rsid w:val="00055635"/>
    <w:rsid w:val="00057CEE"/>
    <w:rsid w:val="00065E40"/>
    <w:rsid w:val="000A112E"/>
    <w:rsid w:val="000A2E23"/>
    <w:rsid w:val="000A4502"/>
    <w:rsid w:val="000B7E0D"/>
    <w:rsid w:val="000C7342"/>
    <w:rsid w:val="000E3CE2"/>
    <w:rsid w:val="00100805"/>
    <w:rsid w:val="00121AB1"/>
    <w:rsid w:val="00122CAB"/>
    <w:rsid w:val="001461D4"/>
    <w:rsid w:val="001532A7"/>
    <w:rsid w:val="00162F23"/>
    <w:rsid w:val="001740C2"/>
    <w:rsid w:val="001A17C9"/>
    <w:rsid w:val="001D25C6"/>
    <w:rsid w:val="001D5CE7"/>
    <w:rsid w:val="001D73C6"/>
    <w:rsid w:val="001F25D9"/>
    <w:rsid w:val="002101CD"/>
    <w:rsid w:val="00216ADE"/>
    <w:rsid w:val="00231FF1"/>
    <w:rsid w:val="00233678"/>
    <w:rsid w:val="00234258"/>
    <w:rsid w:val="00235AFE"/>
    <w:rsid w:val="002364CC"/>
    <w:rsid w:val="002373D6"/>
    <w:rsid w:val="00254D3D"/>
    <w:rsid w:val="00272E29"/>
    <w:rsid w:val="00277C18"/>
    <w:rsid w:val="002B60D4"/>
    <w:rsid w:val="002B64AB"/>
    <w:rsid w:val="002D58CF"/>
    <w:rsid w:val="00302630"/>
    <w:rsid w:val="0030616D"/>
    <w:rsid w:val="00387CB6"/>
    <w:rsid w:val="00394AB4"/>
    <w:rsid w:val="00395710"/>
    <w:rsid w:val="003B2884"/>
    <w:rsid w:val="003D3FDC"/>
    <w:rsid w:val="003D7D3F"/>
    <w:rsid w:val="003F6555"/>
    <w:rsid w:val="00401FC4"/>
    <w:rsid w:val="00426DF2"/>
    <w:rsid w:val="00436D58"/>
    <w:rsid w:val="004602C7"/>
    <w:rsid w:val="00467DFD"/>
    <w:rsid w:val="004914D8"/>
    <w:rsid w:val="00493D3F"/>
    <w:rsid w:val="004A2E9F"/>
    <w:rsid w:val="004C6F8A"/>
    <w:rsid w:val="004D0512"/>
    <w:rsid w:val="004F4137"/>
    <w:rsid w:val="004F49AC"/>
    <w:rsid w:val="00525331"/>
    <w:rsid w:val="00552D79"/>
    <w:rsid w:val="005534EB"/>
    <w:rsid w:val="00561412"/>
    <w:rsid w:val="00561FE2"/>
    <w:rsid w:val="00570B76"/>
    <w:rsid w:val="00585461"/>
    <w:rsid w:val="005A1C50"/>
    <w:rsid w:val="005B2FF5"/>
    <w:rsid w:val="005C57B3"/>
    <w:rsid w:val="005D0C23"/>
    <w:rsid w:val="005E0D57"/>
    <w:rsid w:val="005F264A"/>
    <w:rsid w:val="005F57C6"/>
    <w:rsid w:val="005F6267"/>
    <w:rsid w:val="005F6995"/>
    <w:rsid w:val="00601A9F"/>
    <w:rsid w:val="006204F6"/>
    <w:rsid w:val="00630C25"/>
    <w:rsid w:val="00632A1A"/>
    <w:rsid w:val="00651B17"/>
    <w:rsid w:val="006735E2"/>
    <w:rsid w:val="00674217"/>
    <w:rsid w:val="006A0A62"/>
    <w:rsid w:val="006B1096"/>
    <w:rsid w:val="006B70E9"/>
    <w:rsid w:val="006C0F36"/>
    <w:rsid w:val="006D4AD1"/>
    <w:rsid w:val="006D6E4A"/>
    <w:rsid w:val="007063AF"/>
    <w:rsid w:val="00711C24"/>
    <w:rsid w:val="00715F17"/>
    <w:rsid w:val="00744D3F"/>
    <w:rsid w:val="00761A2E"/>
    <w:rsid w:val="0077667A"/>
    <w:rsid w:val="00780DD9"/>
    <w:rsid w:val="007A593A"/>
    <w:rsid w:val="007C5810"/>
    <w:rsid w:val="007F49FA"/>
    <w:rsid w:val="007F71CD"/>
    <w:rsid w:val="00807881"/>
    <w:rsid w:val="0081696C"/>
    <w:rsid w:val="008260EA"/>
    <w:rsid w:val="00832D28"/>
    <w:rsid w:val="00843AE3"/>
    <w:rsid w:val="00844E57"/>
    <w:rsid w:val="00845967"/>
    <w:rsid w:val="00847AAE"/>
    <w:rsid w:val="00852179"/>
    <w:rsid w:val="00862FBC"/>
    <w:rsid w:val="00880448"/>
    <w:rsid w:val="008D41FD"/>
    <w:rsid w:val="008F080F"/>
    <w:rsid w:val="00912E9B"/>
    <w:rsid w:val="009246B2"/>
    <w:rsid w:val="0093022F"/>
    <w:rsid w:val="009461F0"/>
    <w:rsid w:val="0094638B"/>
    <w:rsid w:val="00946841"/>
    <w:rsid w:val="0095238B"/>
    <w:rsid w:val="00954ABF"/>
    <w:rsid w:val="00985418"/>
    <w:rsid w:val="00991F19"/>
    <w:rsid w:val="0099605F"/>
    <w:rsid w:val="009A2FC5"/>
    <w:rsid w:val="009D3DB4"/>
    <w:rsid w:val="009F2E60"/>
    <w:rsid w:val="00A02255"/>
    <w:rsid w:val="00A22DB9"/>
    <w:rsid w:val="00A4078F"/>
    <w:rsid w:val="00A80E2C"/>
    <w:rsid w:val="00AC3A4D"/>
    <w:rsid w:val="00AD14BB"/>
    <w:rsid w:val="00AD1835"/>
    <w:rsid w:val="00AD2986"/>
    <w:rsid w:val="00AF1D6C"/>
    <w:rsid w:val="00AF4E98"/>
    <w:rsid w:val="00AF7AC4"/>
    <w:rsid w:val="00B01D6C"/>
    <w:rsid w:val="00B16E69"/>
    <w:rsid w:val="00B213DB"/>
    <w:rsid w:val="00B24DB2"/>
    <w:rsid w:val="00B63CD7"/>
    <w:rsid w:val="00B66BAB"/>
    <w:rsid w:val="00B92489"/>
    <w:rsid w:val="00BB4AA1"/>
    <w:rsid w:val="00BB5053"/>
    <w:rsid w:val="00BD073A"/>
    <w:rsid w:val="00BD1DE6"/>
    <w:rsid w:val="00BD7CFC"/>
    <w:rsid w:val="00BE2233"/>
    <w:rsid w:val="00BE3CAD"/>
    <w:rsid w:val="00BE5B0B"/>
    <w:rsid w:val="00BE5FAB"/>
    <w:rsid w:val="00BE6F3E"/>
    <w:rsid w:val="00BF520F"/>
    <w:rsid w:val="00C31790"/>
    <w:rsid w:val="00C37BC2"/>
    <w:rsid w:val="00C4186D"/>
    <w:rsid w:val="00C4314D"/>
    <w:rsid w:val="00C47C9C"/>
    <w:rsid w:val="00C6215B"/>
    <w:rsid w:val="00C77CBD"/>
    <w:rsid w:val="00CB5C12"/>
    <w:rsid w:val="00CE37A7"/>
    <w:rsid w:val="00CF384C"/>
    <w:rsid w:val="00D0063E"/>
    <w:rsid w:val="00D033FC"/>
    <w:rsid w:val="00D20546"/>
    <w:rsid w:val="00D32E8E"/>
    <w:rsid w:val="00D47D60"/>
    <w:rsid w:val="00D551A7"/>
    <w:rsid w:val="00D63468"/>
    <w:rsid w:val="00D81335"/>
    <w:rsid w:val="00D84AEF"/>
    <w:rsid w:val="00DB3050"/>
    <w:rsid w:val="00DC124F"/>
    <w:rsid w:val="00DD46C5"/>
    <w:rsid w:val="00DD7C74"/>
    <w:rsid w:val="00DF78B9"/>
    <w:rsid w:val="00E00D41"/>
    <w:rsid w:val="00E1506F"/>
    <w:rsid w:val="00E20E77"/>
    <w:rsid w:val="00E50343"/>
    <w:rsid w:val="00E5701A"/>
    <w:rsid w:val="00E658C8"/>
    <w:rsid w:val="00E67290"/>
    <w:rsid w:val="00EA28D3"/>
    <w:rsid w:val="00EB3D12"/>
    <w:rsid w:val="00ED6714"/>
    <w:rsid w:val="00EE5931"/>
    <w:rsid w:val="00F06122"/>
    <w:rsid w:val="00F12F24"/>
    <w:rsid w:val="00F3640F"/>
    <w:rsid w:val="00F40564"/>
    <w:rsid w:val="00F52218"/>
    <w:rsid w:val="00F554C5"/>
    <w:rsid w:val="00F81617"/>
    <w:rsid w:val="00F92667"/>
    <w:rsid w:val="00FB50F6"/>
    <w:rsid w:val="00FD473C"/>
    <w:rsid w:val="00FD5277"/>
    <w:rsid w:val="00FE6851"/>
    <w:rsid w:val="00FF232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358B6"/>
  <w15:docId w15:val="{97FAED90-C71E-4747-84BB-02D24115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920"/>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56"/>
      <w:ind w:left="920"/>
    </w:pPr>
    <w:rPr>
      <w:b/>
      <w:bCs/>
    </w:rPr>
  </w:style>
  <w:style w:type="paragraph" w:styleId="ListParagraph">
    <w:name w:val="List Paragraph"/>
    <w:basedOn w:val="Normal"/>
    <w:uiPriority w:val="1"/>
    <w:qFormat/>
    <w:pPr>
      <w:ind w:left="164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F49AC"/>
    <w:rPr>
      <w:sz w:val="16"/>
      <w:szCs w:val="16"/>
    </w:rPr>
  </w:style>
  <w:style w:type="paragraph" w:styleId="CommentText">
    <w:name w:val="annotation text"/>
    <w:basedOn w:val="Normal"/>
    <w:link w:val="CommentTextChar"/>
    <w:uiPriority w:val="99"/>
    <w:unhideWhenUsed/>
    <w:rsid w:val="004F49AC"/>
    <w:rPr>
      <w:sz w:val="20"/>
      <w:szCs w:val="20"/>
    </w:rPr>
  </w:style>
  <w:style w:type="character" w:customStyle="1" w:styleId="CommentTextChar">
    <w:name w:val="Comment Text Char"/>
    <w:basedOn w:val="DefaultParagraphFont"/>
    <w:link w:val="CommentText"/>
    <w:uiPriority w:val="99"/>
    <w:rsid w:val="004F49A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F49AC"/>
    <w:rPr>
      <w:b/>
      <w:bCs/>
    </w:rPr>
  </w:style>
  <w:style w:type="character" w:customStyle="1" w:styleId="CommentSubjectChar">
    <w:name w:val="Comment Subject Char"/>
    <w:basedOn w:val="CommentTextChar"/>
    <w:link w:val="CommentSubject"/>
    <w:uiPriority w:val="99"/>
    <w:semiHidden/>
    <w:rsid w:val="004F49AC"/>
    <w:rPr>
      <w:rFonts w:ascii="Calibri" w:eastAsia="Calibri" w:hAnsi="Calibri" w:cs="Calibri"/>
      <w:b/>
      <w:bCs/>
      <w:sz w:val="20"/>
      <w:szCs w:val="20"/>
    </w:rPr>
  </w:style>
  <w:style w:type="character" w:styleId="Hyperlink">
    <w:name w:val="Hyperlink"/>
    <w:basedOn w:val="DefaultParagraphFont"/>
    <w:uiPriority w:val="99"/>
    <w:unhideWhenUsed/>
    <w:rsid w:val="004F49AC"/>
    <w:rPr>
      <w:color w:val="0000FF" w:themeColor="hyperlink"/>
      <w:u w:val="single"/>
    </w:rPr>
  </w:style>
  <w:style w:type="character" w:styleId="UnresolvedMention">
    <w:name w:val="Unresolved Mention"/>
    <w:basedOn w:val="DefaultParagraphFont"/>
    <w:uiPriority w:val="99"/>
    <w:semiHidden/>
    <w:unhideWhenUsed/>
    <w:rsid w:val="004F49AC"/>
    <w:rPr>
      <w:color w:val="605E5C"/>
      <w:shd w:val="clear" w:color="auto" w:fill="E1DFDD"/>
    </w:rPr>
  </w:style>
  <w:style w:type="paragraph" w:styleId="Revision">
    <w:name w:val="Revision"/>
    <w:hidden/>
    <w:uiPriority w:val="99"/>
    <w:semiHidden/>
    <w:rsid w:val="00F40564"/>
    <w:pPr>
      <w:widowControl/>
      <w:autoSpaceDE/>
      <w:autoSpaceDN/>
    </w:pPr>
    <w:rPr>
      <w:rFonts w:ascii="Calibri" w:eastAsia="Calibri" w:hAnsi="Calibri" w:cs="Calibri"/>
    </w:rPr>
  </w:style>
  <w:style w:type="character" w:styleId="FollowedHyperlink">
    <w:name w:val="FollowedHyperlink"/>
    <w:basedOn w:val="DefaultParagraphFont"/>
    <w:uiPriority w:val="99"/>
    <w:semiHidden/>
    <w:unhideWhenUsed/>
    <w:rsid w:val="005534EB"/>
    <w:rPr>
      <w:color w:val="800080" w:themeColor="followedHyperlink"/>
      <w:u w:val="single"/>
    </w:rPr>
  </w:style>
  <w:style w:type="paragraph" w:styleId="Header">
    <w:name w:val="header"/>
    <w:basedOn w:val="Normal"/>
    <w:link w:val="HeaderChar"/>
    <w:uiPriority w:val="99"/>
    <w:unhideWhenUsed/>
    <w:rsid w:val="00985418"/>
    <w:pPr>
      <w:tabs>
        <w:tab w:val="center" w:pos="4703"/>
        <w:tab w:val="right" w:pos="9406"/>
      </w:tabs>
    </w:pPr>
  </w:style>
  <w:style w:type="character" w:customStyle="1" w:styleId="HeaderChar">
    <w:name w:val="Header Char"/>
    <w:basedOn w:val="DefaultParagraphFont"/>
    <w:link w:val="Header"/>
    <w:uiPriority w:val="99"/>
    <w:rsid w:val="00985418"/>
    <w:rPr>
      <w:rFonts w:ascii="Calibri" w:eastAsia="Calibri" w:hAnsi="Calibri" w:cs="Calibri"/>
    </w:rPr>
  </w:style>
  <w:style w:type="paragraph" w:styleId="Footer">
    <w:name w:val="footer"/>
    <w:basedOn w:val="Normal"/>
    <w:link w:val="FooterChar"/>
    <w:uiPriority w:val="99"/>
    <w:unhideWhenUsed/>
    <w:rsid w:val="00985418"/>
    <w:pPr>
      <w:tabs>
        <w:tab w:val="center" w:pos="4703"/>
        <w:tab w:val="right" w:pos="9406"/>
      </w:tabs>
    </w:pPr>
  </w:style>
  <w:style w:type="character" w:customStyle="1" w:styleId="FooterChar">
    <w:name w:val="Footer Char"/>
    <w:basedOn w:val="DefaultParagraphFont"/>
    <w:link w:val="Footer"/>
    <w:uiPriority w:val="99"/>
    <w:rsid w:val="0098541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66953">
      <w:bodyDiv w:val="1"/>
      <w:marLeft w:val="0"/>
      <w:marRight w:val="0"/>
      <w:marTop w:val="0"/>
      <w:marBottom w:val="0"/>
      <w:divBdr>
        <w:top w:val="none" w:sz="0" w:space="0" w:color="auto"/>
        <w:left w:val="none" w:sz="0" w:space="0" w:color="auto"/>
        <w:bottom w:val="none" w:sz="0" w:space="0" w:color="auto"/>
        <w:right w:val="none" w:sz="0" w:space="0" w:color="auto"/>
      </w:divBdr>
    </w:div>
    <w:div w:id="636179947">
      <w:bodyDiv w:val="1"/>
      <w:marLeft w:val="0"/>
      <w:marRight w:val="0"/>
      <w:marTop w:val="0"/>
      <w:marBottom w:val="0"/>
      <w:divBdr>
        <w:top w:val="none" w:sz="0" w:space="0" w:color="auto"/>
        <w:left w:val="none" w:sz="0" w:space="0" w:color="auto"/>
        <w:bottom w:val="none" w:sz="0" w:space="0" w:color="auto"/>
        <w:right w:val="none" w:sz="0" w:space="0" w:color="auto"/>
      </w:divBdr>
    </w:div>
    <w:div w:id="961808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bout.clasohlson.com/en/corporate-govern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2040</Words>
  <Characters>10816</Characters>
  <Application>Microsoft Office Word</Application>
  <DocSecurity>0</DocSecurity>
  <Lines>90</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Microsoft Word - Remuneration report 2020 - Example English and Swedish version - 16 Dec 2020.DOCX</vt:lpstr>
      <vt:lpstr>Microsoft Word - Remuneration report 2020 - Example English and Swedish version - 16 Dec 2020.DOCX</vt:lpstr>
    </vt:vector>
  </TitlesOfParts>
  <Company>ClasOhslon</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Remuneration report 2020 - Example English and Swedish version - 16 Dec 2020.DOCX</dc:title>
  <dc:subject/>
  <dc:creator>CEB</dc:creator>
  <cp:keywords/>
  <cp:lastModifiedBy>Tina Englyst</cp:lastModifiedBy>
  <cp:revision>5</cp:revision>
  <cp:lastPrinted>2022-06-21T08:33:00Z</cp:lastPrinted>
  <dcterms:created xsi:type="dcterms:W3CDTF">2024-06-13T06:56:00Z</dcterms:created>
  <dcterms:modified xsi:type="dcterms:W3CDTF">2024-07-11T19:36:00Z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Microsoft® Word for Office 365</vt:lpwstr>
  </property>
  <property fmtid="{D5CDD505-2E9C-101B-9397-08002B2CF9AE}" pid="4" name="LastSaved">
    <vt:filetime>2022-04-26T00:00:00Z</vt:filetime>
  </property>
  <property fmtid="{D5CDD505-2E9C-101B-9397-08002B2CF9AE}" pid="5" name="ID">
    <vt:lpwstr>LEGAL#22608707v5</vt:lpwstr>
  </property>
  <property fmtid="{D5CDD505-2E9C-101B-9397-08002B2CF9AE}" pid="6" name="Removed">
    <vt:lpwstr>False</vt:lpwstr>
  </property>
  <property fmtid="{D5CDD505-2E9C-101B-9397-08002B2CF9AE}" pid="7" name="MSIP_Label_5362ce0e-a12f-446d-81a2-bfab7bc0e988_Enabled">
    <vt:lpwstr>true</vt:lpwstr>
  </property>
  <property fmtid="{D5CDD505-2E9C-101B-9397-08002B2CF9AE}" pid="8" name="MSIP_Label_5362ce0e-a12f-446d-81a2-bfab7bc0e988_SetDate">
    <vt:lpwstr>2024-06-03T06:42:13Z</vt:lpwstr>
  </property>
  <property fmtid="{D5CDD505-2E9C-101B-9397-08002B2CF9AE}" pid="9" name="MSIP_Label_5362ce0e-a12f-446d-81a2-bfab7bc0e988_Method">
    <vt:lpwstr>Standard</vt:lpwstr>
  </property>
  <property fmtid="{D5CDD505-2E9C-101B-9397-08002B2CF9AE}" pid="10" name="MSIP_Label_5362ce0e-a12f-446d-81a2-bfab7bc0e988_Name">
    <vt:lpwstr>Business files and emails</vt:lpwstr>
  </property>
  <property fmtid="{D5CDD505-2E9C-101B-9397-08002B2CF9AE}" pid="11" name="MSIP_Label_5362ce0e-a12f-446d-81a2-bfab7bc0e988_SiteId">
    <vt:lpwstr>080917a7-8e76-4eca-9b40-d8771092fc58</vt:lpwstr>
  </property>
  <property fmtid="{D5CDD505-2E9C-101B-9397-08002B2CF9AE}" pid="12" name="MSIP_Label_5362ce0e-a12f-446d-81a2-bfab7bc0e988_ActionId">
    <vt:lpwstr>2d82446d-6476-44ef-b5b4-8e886c8bcb18</vt:lpwstr>
  </property>
  <property fmtid="{D5CDD505-2E9C-101B-9397-08002B2CF9AE}" pid="13" name="MSIP_Label_5362ce0e-a12f-446d-81a2-bfab7bc0e988_ContentBits">
    <vt:lpwstr>0</vt:lpwstr>
  </property>
</Properties>
</file>